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4C8" w:rsidRDefault="00BF27BD">
      <w:pPr>
        <w:spacing w:after="19"/>
        <w:ind w:left="2841"/>
        <w:jc w:val="center"/>
      </w:pPr>
      <w:r>
        <w:rPr>
          <w:rFonts w:ascii="Arial" w:eastAsia="Arial" w:hAnsi="Arial" w:cs="Arial"/>
          <w:b/>
        </w:rPr>
        <w:t xml:space="preserve"> </w:t>
      </w:r>
    </w:p>
    <w:p w:rsidR="001624C8" w:rsidRDefault="001624C8">
      <w:pPr>
        <w:spacing w:after="0"/>
        <w:ind w:left="2841"/>
        <w:jc w:val="center"/>
      </w:pPr>
    </w:p>
    <w:tbl>
      <w:tblPr>
        <w:tblStyle w:val="TableGrid"/>
        <w:tblW w:w="9640" w:type="dxa"/>
        <w:tblInd w:w="0" w:type="dxa"/>
        <w:tblCellMar>
          <w:top w:w="64" w:type="dxa"/>
          <w:left w:w="55" w:type="dxa"/>
        </w:tblCellMar>
        <w:tblLook w:val="04A0" w:firstRow="1" w:lastRow="0" w:firstColumn="1" w:lastColumn="0" w:noHBand="0" w:noVBand="1"/>
      </w:tblPr>
      <w:tblGrid>
        <w:gridCol w:w="9640"/>
      </w:tblGrid>
      <w:tr w:rsidR="001624C8">
        <w:trPr>
          <w:trHeight w:val="374"/>
        </w:trPr>
        <w:tc>
          <w:tcPr>
            <w:tcW w:w="9640" w:type="dxa"/>
            <w:tcBorders>
              <w:top w:val="single" w:sz="4" w:space="0" w:color="000000"/>
              <w:left w:val="single" w:sz="4" w:space="0" w:color="000000"/>
              <w:bottom w:val="single" w:sz="4" w:space="0" w:color="000000"/>
              <w:right w:val="single" w:sz="4" w:space="0" w:color="000000"/>
            </w:tcBorders>
          </w:tcPr>
          <w:p w:rsidR="001624C8" w:rsidRPr="00522C95" w:rsidRDefault="003C1504">
            <w:pPr>
              <w:ind w:right="58"/>
              <w:jc w:val="center"/>
              <w:rPr>
                <w:sz w:val="24"/>
                <w:szCs w:val="24"/>
              </w:rPr>
            </w:pPr>
            <w:r>
              <w:rPr>
                <w:rFonts w:ascii="Arial" w:eastAsia="Arial" w:hAnsi="Arial" w:cs="Arial"/>
                <w:b/>
                <w:sz w:val="24"/>
                <w:szCs w:val="24"/>
              </w:rPr>
              <w:t>Cessazione/sospensione/riattivazione</w:t>
            </w:r>
            <w:r w:rsidR="00BF27BD" w:rsidRPr="00522C95">
              <w:rPr>
                <w:rFonts w:ascii="Arial" w:eastAsia="Arial" w:hAnsi="Arial" w:cs="Arial"/>
                <w:b/>
                <w:sz w:val="24"/>
                <w:szCs w:val="24"/>
              </w:rPr>
              <w:t xml:space="preserve"> stabilimento riconosciuto CE (Reg. CE 853/04) </w:t>
            </w:r>
          </w:p>
        </w:tc>
      </w:tr>
      <w:tr w:rsidR="001624C8">
        <w:trPr>
          <w:trHeight w:val="5538"/>
        </w:trPr>
        <w:tc>
          <w:tcPr>
            <w:tcW w:w="9640" w:type="dxa"/>
            <w:tcBorders>
              <w:top w:val="single" w:sz="4" w:space="0" w:color="000000"/>
              <w:left w:val="single" w:sz="4" w:space="0" w:color="000000"/>
              <w:bottom w:val="single" w:sz="4" w:space="0" w:color="000000"/>
              <w:right w:val="single" w:sz="4" w:space="0" w:color="000000"/>
            </w:tcBorders>
          </w:tcPr>
          <w:p w:rsidR="001624C8" w:rsidRPr="00522C95" w:rsidRDefault="003C1504" w:rsidP="00D11A02">
            <w:pPr>
              <w:jc w:val="both"/>
              <w:rPr>
                <w:sz w:val="24"/>
                <w:szCs w:val="24"/>
              </w:rPr>
            </w:pPr>
            <w:r>
              <w:rPr>
                <w:rFonts w:ascii="Arial" w:eastAsia="Arial" w:hAnsi="Arial" w:cs="Arial"/>
                <w:sz w:val="24"/>
                <w:szCs w:val="24"/>
              </w:rPr>
              <w:t>Il titolare o il legale rappresentante di uno stabilimento, già in possesso di riconoscimento, che intende cessare o sospendere, totalmente o parzialmente o riattivare le attività svolte nel suo impianto deve presentare al SIAOA per il tramite del SUAP del Comune territorialmente compe</w:t>
            </w:r>
            <w:r w:rsidR="00D210ED">
              <w:rPr>
                <w:rFonts w:ascii="Arial" w:eastAsia="Arial" w:hAnsi="Arial" w:cs="Arial"/>
                <w:sz w:val="24"/>
                <w:szCs w:val="24"/>
              </w:rPr>
              <w:t xml:space="preserve">tente la comunicazione via </w:t>
            </w:r>
            <w:proofErr w:type="spellStart"/>
            <w:r w:rsidR="00D210ED">
              <w:rPr>
                <w:rFonts w:ascii="Arial" w:eastAsia="Arial" w:hAnsi="Arial" w:cs="Arial"/>
                <w:sz w:val="24"/>
                <w:szCs w:val="24"/>
              </w:rPr>
              <w:t>pec</w:t>
            </w:r>
            <w:proofErr w:type="spellEnd"/>
            <w:r w:rsidR="00D210ED">
              <w:rPr>
                <w:rFonts w:ascii="Arial" w:eastAsia="Arial" w:hAnsi="Arial" w:cs="Arial"/>
                <w:sz w:val="24"/>
                <w:szCs w:val="24"/>
              </w:rPr>
              <w:t xml:space="preserve">, </w:t>
            </w:r>
            <w:r>
              <w:rPr>
                <w:rFonts w:ascii="Arial" w:eastAsia="Arial" w:hAnsi="Arial" w:cs="Arial"/>
                <w:sz w:val="24"/>
                <w:szCs w:val="24"/>
              </w:rPr>
              <w:t xml:space="preserve">utilizzando/ compilando telematicamente la richiesta sul sito del SUAP del Comune tramite la </w:t>
            </w:r>
            <w:r w:rsidRPr="008911B5">
              <w:rPr>
                <w:rFonts w:ascii="Arial" w:eastAsia="Arial" w:hAnsi="Arial" w:cs="Arial"/>
                <w:b/>
                <w:sz w:val="24"/>
                <w:szCs w:val="24"/>
              </w:rPr>
              <w:t>Scheda A5</w:t>
            </w:r>
            <w:r>
              <w:rPr>
                <w:rFonts w:ascii="Arial" w:eastAsia="Arial" w:hAnsi="Arial" w:cs="Arial"/>
                <w:sz w:val="24"/>
                <w:szCs w:val="24"/>
              </w:rPr>
              <w:t>.</w:t>
            </w:r>
          </w:p>
          <w:p w:rsidR="001624C8" w:rsidRPr="00522C95" w:rsidRDefault="00BF27BD" w:rsidP="00D11A02">
            <w:pPr>
              <w:jc w:val="both"/>
              <w:rPr>
                <w:sz w:val="24"/>
                <w:szCs w:val="24"/>
              </w:rPr>
            </w:pPr>
            <w:r w:rsidRPr="00522C95">
              <w:rPr>
                <w:rFonts w:ascii="Arial" w:eastAsia="Arial" w:hAnsi="Arial" w:cs="Arial"/>
                <w:sz w:val="24"/>
                <w:szCs w:val="24"/>
              </w:rPr>
              <w:t xml:space="preserve">   </w:t>
            </w:r>
          </w:p>
          <w:p w:rsidR="001624C8" w:rsidRPr="00522C95" w:rsidRDefault="00BF27BD">
            <w:pPr>
              <w:spacing w:after="2" w:line="251" w:lineRule="auto"/>
              <w:ind w:right="57"/>
              <w:jc w:val="both"/>
              <w:rPr>
                <w:sz w:val="24"/>
                <w:szCs w:val="24"/>
              </w:rPr>
            </w:pPr>
            <w:r w:rsidRPr="00522C95">
              <w:rPr>
                <w:rFonts w:ascii="Arial" w:eastAsia="Arial" w:hAnsi="Arial" w:cs="Arial"/>
                <w:sz w:val="24"/>
                <w:szCs w:val="24"/>
              </w:rPr>
              <w:t xml:space="preserve">Oltre quanto a descritto in questo documento, si rammenta che le aziende che hanno ottenuto il Riconoscimento CE dello stabilimento o che subentrano in uno stabilimento già riconosciuto, per qualunque variazione, sono obbligate a seguire gli iter procedurali previsti dagli altri specifici fogli informativi per l’utenza: </w:t>
            </w:r>
          </w:p>
          <w:p w:rsidR="001624C8" w:rsidRPr="00522C95" w:rsidRDefault="00BF27BD">
            <w:pPr>
              <w:numPr>
                <w:ilvl w:val="0"/>
                <w:numId w:val="1"/>
              </w:numPr>
              <w:ind w:hanging="372"/>
              <w:rPr>
                <w:sz w:val="24"/>
                <w:szCs w:val="24"/>
              </w:rPr>
            </w:pPr>
            <w:r w:rsidRPr="00522C95">
              <w:rPr>
                <w:rFonts w:ascii="Arial" w:eastAsia="Arial" w:hAnsi="Arial" w:cs="Arial"/>
                <w:i/>
                <w:sz w:val="24"/>
                <w:szCs w:val="24"/>
              </w:rPr>
              <w:t xml:space="preserve">Voltura riconoscimento CE stabilimento (Reg. CE 853/04) </w:t>
            </w:r>
          </w:p>
          <w:p w:rsidR="001624C8" w:rsidRPr="00522C95" w:rsidRDefault="00BF27BD">
            <w:pPr>
              <w:numPr>
                <w:ilvl w:val="0"/>
                <w:numId w:val="1"/>
              </w:numPr>
              <w:ind w:hanging="372"/>
              <w:rPr>
                <w:sz w:val="24"/>
                <w:szCs w:val="24"/>
              </w:rPr>
            </w:pPr>
            <w:r w:rsidRPr="00522C95">
              <w:rPr>
                <w:rFonts w:ascii="Arial" w:eastAsia="Arial" w:hAnsi="Arial" w:cs="Arial"/>
                <w:i/>
                <w:sz w:val="24"/>
                <w:szCs w:val="24"/>
              </w:rPr>
              <w:t xml:space="preserve">Cessazione, sospensione, riattivazione stabilimento riconosciuto CE (Reg. CE 853/04)  </w:t>
            </w:r>
          </w:p>
          <w:p w:rsidR="001624C8" w:rsidRPr="00522C95" w:rsidRDefault="00BF27BD">
            <w:pPr>
              <w:numPr>
                <w:ilvl w:val="0"/>
                <w:numId w:val="1"/>
              </w:numPr>
              <w:ind w:hanging="372"/>
              <w:rPr>
                <w:sz w:val="24"/>
                <w:szCs w:val="24"/>
              </w:rPr>
            </w:pPr>
            <w:r w:rsidRPr="00522C95">
              <w:rPr>
                <w:rFonts w:ascii="Arial" w:eastAsia="Arial" w:hAnsi="Arial" w:cs="Arial"/>
                <w:i/>
                <w:sz w:val="24"/>
                <w:szCs w:val="24"/>
              </w:rPr>
              <w:t xml:space="preserve">Modifiche strutturali e/o impiantistiche in stabilimento riconosciuto CE (Reg. CE 853/04 </w:t>
            </w:r>
          </w:p>
          <w:p w:rsidR="001624C8" w:rsidRPr="00522C95" w:rsidRDefault="00BF27BD">
            <w:pPr>
              <w:numPr>
                <w:ilvl w:val="0"/>
                <w:numId w:val="1"/>
              </w:numPr>
              <w:spacing w:line="243" w:lineRule="auto"/>
              <w:ind w:hanging="372"/>
              <w:rPr>
                <w:sz w:val="24"/>
                <w:szCs w:val="24"/>
              </w:rPr>
            </w:pPr>
            <w:r w:rsidRPr="00522C95">
              <w:rPr>
                <w:rFonts w:ascii="Arial" w:eastAsia="Arial" w:hAnsi="Arial" w:cs="Arial"/>
                <w:i/>
                <w:sz w:val="24"/>
                <w:szCs w:val="24"/>
              </w:rPr>
              <w:t xml:space="preserve">Variazione rappresentante legale e/o della sede legale di stabilimento riconosciuto CE (Reg. CE 853/04) </w:t>
            </w:r>
          </w:p>
          <w:p w:rsidR="001624C8" w:rsidRPr="00522C95" w:rsidRDefault="00BF27BD">
            <w:pPr>
              <w:rPr>
                <w:sz w:val="24"/>
                <w:szCs w:val="24"/>
              </w:rPr>
            </w:pPr>
            <w:r w:rsidRPr="00522C95">
              <w:rPr>
                <w:rFonts w:ascii="Arial" w:eastAsia="Arial" w:hAnsi="Arial" w:cs="Arial"/>
                <w:sz w:val="24"/>
                <w:szCs w:val="24"/>
              </w:rPr>
              <w:t xml:space="preserve"> </w:t>
            </w:r>
          </w:p>
          <w:p w:rsidR="001624C8" w:rsidRPr="00522C95" w:rsidRDefault="00BF27BD">
            <w:pPr>
              <w:rPr>
                <w:sz w:val="24"/>
                <w:szCs w:val="24"/>
              </w:rPr>
            </w:pPr>
            <w:r w:rsidRPr="00522C95">
              <w:rPr>
                <w:rFonts w:ascii="Arial" w:eastAsia="Arial" w:hAnsi="Arial" w:cs="Arial"/>
                <w:sz w:val="24"/>
                <w:szCs w:val="24"/>
              </w:rPr>
              <w:t xml:space="preserve">Riferimenti normativi: </w:t>
            </w:r>
          </w:p>
          <w:p w:rsidR="001624C8" w:rsidRPr="00522C95" w:rsidRDefault="00BF27BD">
            <w:pPr>
              <w:numPr>
                <w:ilvl w:val="0"/>
                <w:numId w:val="1"/>
              </w:numPr>
              <w:ind w:hanging="372"/>
              <w:rPr>
                <w:sz w:val="24"/>
                <w:szCs w:val="24"/>
              </w:rPr>
            </w:pPr>
            <w:r w:rsidRPr="00522C95">
              <w:rPr>
                <w:rFonts w:ascii="Arial" w:eastAsia="Arial" w:hAnsi="Arial" w:cs="Arial"/>
                <w:sz w:val="24"/>
                <w:szCs w:val="24"/>
              </w:rPr>
              <w:t xml:space="preserve">Regolamento CE n.852/2004 </w:t>
            </w:r>
          </w:p>
          <w:p w:rsidR="001624C8" w:rsidRPr="00522C95" w:rsidRDefault="00BF27BD">
            <w:pPr>
              <w:numPr>
                <w:ilvl w:val="0"/>
                <w:numId w:val="1"/>
              </w:numPr>
              <w:ind w:hanging="372"/>
              <w:rPr>
                <w:sz w:val="24"/>
                <w:szCs w:val="24"/>
              </w:rPr>
            </w:pPr>
            <w:r w:rsidRPr="00522C95">
              <w:rPr>
                <w:rFonts w:ascii="Arial" w:eastAsia="Arial" w:hAnsi="Arial" w:cs="Arial"/>
                <w:sz w:val="24"/>
                <w:szCs w:val="24"/>
              </w:rPr>
              <w:t xml:space="preserve">Regolamento CE n.853/2004 </w:t>
            </w:r>
          </w:p>
          <w:p w:rsidR="001624C8" w:rsidRDefault="001624C8" w:rsidP="00F34D27">
            <w:pPr>
              <w:ind w:left="372"/>
            </w:pPr>
          </w:p>
        </w:tc>
      </w:tr>
    </w:tbl>
    <w:p w:rsidR="001624C8" w:rsidRDefault="00BF27BD">
      <w:pPr>
        <w:spacing w:after="163"/>
        <w:rPr>
          <w:rFonts w:ascii="Times New Roman" w:eastAsia="Times New Roman" w:hAnsi="Times New Roman" w:cs="Times New Roman"/>
        </w:rPr>
      </w:pPr>
      <w:r>
        <w:rPr>
          <w:rFonts w:ascii="Times New Roman" w:eastAsia="Times New Roman" w:hAnsi="Times New Roman" w:cs="Times New Roman"/>
        </w:rPr>
        <w:t xml:space="preserve"> </w:t>
      </w:r>
    </w:p>
    <w:p w:rsidR="00522C95" w:rsidRDefault="00522C95">
      <w:pPr>
        <w:spacing w:after="163"/>
      </w:pPr>
    </w:p>
    <w:p w:rsidR="001624C8" w:rsidRPr="00522C95" w:rsidRDefault="00BF27BD" w:rsidP="00F34D27">
      <w:pPr>
        <w:pBdr>
          <w:top w:val="single" w:sz="4" w:space="0" w:color="000000"/>
          <w:left w:val="single" w:sz="4" w:space="0" w:color="000000"/>
          <w:bottom w:val="single" w:sz="4" w:space="0" w:color="000000"/>
          <w:right w:val="single" w:sz="4" w:space="31" w:color="000000"/>
        </w:pBdr>
        <w:spacing w:after="43"/>
        <w:ind w:left="3261" w:right="565"/>
        <w:jc w:val="right"/>
        <w:rPr>
          <w:sz w:val="24"/>
          <w:szCs w:val="24"/>
        </w:rPr>
      </w:pPr>
      <w:r w:rsidRPr="00522C95">
        <w:rPr>
          <w:rFonts w:ascii="Arial" w:eastAsia="Arial" w:hAnsi="Arial" w:cs="Arial"/>
          <w:b/>
          <w:sz w:val="24"/>
          <w:szCs w:val="24"/>
        </w:rPr>
        <w:t xml:space="preserve">MODALITA' ED ORARI </w:t>
      </w:r>
    </w:p>
    <w:p w:rsidR="00522C95" w:rsidRDefault="00522C95">
      <w:pPr>
        <w:spacing w:after="0"/>
        <w:ind w:left="2844"/>
        <w:jc w:val="center"/>
        <w:rPr>
          <w:rFonts w:ascii="Times New Roman" w:eastAsia="Times New Roman" w:hAnsi="Times New Roman" w:cs="Times New Roman"/>
        </w:rPr>
      </w:pPr>
    </w:p>
    <w:p w:rsidR="001624C8" w:rsidRDefault="00BF27BD">
      <w:pPr>
        <w:spacing w:after="0"/>
        <w:ind w:left="2844"/>
        <w:jc w:val="center"/>
      </w:pPr>
      <w:r>
        <w:rPr>
          <w:rFonts w:ascii="Times New Roman" w:eastAsia="Times New Roman" w:hAnsi="Times New Roman" w:cs="Times New Roman"/>
        </w:rPr>
        <w:t xml:space="preserve"> </w:t>
      </w:r>
    </w:p>
    <w:tbl>
      <w:tblPr>
        <w:tblStyle w:val="TableGrid"/>
        <w:tblW w:w="9669" w:type="dxa"/>
        <w:tblInd w:w="0" w:type="dxa"/>
        <w:tblCellMar>
          <w:top w:w="62" w:type="dxa"/>
          <w:left w:w="58" w:type="dxa"/>
        </w:tblCellMar>
        <w:tblLook w:val="04A0" w:firstRow="1" w:lastRow="0" w:firstColumn="1" w:lastColumn="0" w:noHBand="0" w:noVBand="1"/>
      </w:tblPr>
      <w:tblGrid>
        <w:gridCol w:w="1913"/>
        <w:gridCol w:w="7756"/>
      </w:tblGrid>
      <w:tr w:rsidR="001624C8" w:rsidTr="00522C95">
        <w:trPr>
          <w:trHeight w:val="866"/>
        </w:trPr>
        <w:tc>
          <w:tcPr>
            <w:tcW w:w="1913" w:type="dxa"/>
            <w:tcBorders>
              <w:top w:val="single" w:sz="4" w:space="0" w:color="000000"/>
              <w:left w:val="single" w:sz="4" w:space="0" w:color="000000"/>
              <w:bottom w:val="single" w:sz="4" w:space="0" w:color="000000"/>
              <w:right w:val="single" w:sz="4" w:space="0" w:color="000000"/>
            </w:tcBorders>
          </w:tcPr>
          <w:p w:rsidR="001624C8" w:rsidRPr="00522C95" w:rsidRDefault="00BF27BD">
            <w:pPr>
              <w:ind w:right="60"/>
              <w:jc w:val="center"/>
              <w:rPr>
                <w:sz w:val="24"/>
                <w:szCs w:val="24"/>
              </w:rPr>
            </w:pPr>
            <w:r w:rsidRPr="00522C95">
              <w:rPr>
                <w:rFonts w:ascii="Arial" w:eastAsia="Arial" w:hAnsi="Arial" w:cs="Arial"/>
                <w:b/>
                <w:sz w:val="24"/>
                <w:szCs w:val="24"/>
              </w:rPr>
              <w:t xml:space="preserve">Ufficio </w:t>
            </w:r>
          </w:p>
          <w:p w:rsidR="001624C8" w:rsidRPr="00522C95" w:rsidRDefault="00BF27BD">
            <w:pPr>
              <w:ind w:right="57"/>
              <w:jc w:val="center"/>
              <w:rPr>
                <w:sz w:val="24"/>
                <w:szCs w:val="24"/>
              </w:rPr>
            </w:pPr>
            <w:r w:rsidRPr="00522C95">
              <w:rPr>
                <w:rFonts w:ascii="Arial" w:eastAsia="Arial" w:hAnsi="Arial" w:cs="Arial"/>
                <w:b/>
                <w:sz w:val="24"/>
                <w:szCs w:val="24"/>
              </w:rPr>
              <w:t xml:space="preserve">Competente </w:t>
            </w:r>
          </w:p>
        </w:tc>
        <w:tc>
          <w:tcPr>
            <w:tcW w:w="7756" w:type="dxa"/>
            <w:tcBorders>
              <w:top w:val="single" w:sz="4" w:space="0" w:color="000000"/>
              <w:left w:val="single" w:sz="4" w:space="0" w:color="000000"/>
              <w:bottom w:val="single" w:sz="4" w:space="0" w:color="000000"/>
              <w:right w:val="single" w:sz="4" w:space="0" w:color="000000"/>
            </w:tcBorders>
          </w:tcPr>
          <w:p w:rsidR="001624C8" w:rsidRPr="00522C95" w:rsidRDefault="00BF27BD">
            <w:pPr>
              <w:spacing w:after="6"/>
              <w:rPr>
                <w:sz w:val="24"/>
                <w:szCs w:val="24"/>
              </w:rPr>
            </w:pPr>
            <w:r w:rsidRPr="00522C95">
              <w:rPr>
                <w:rFonts w:ascii="Arial" w:eastAsia="Arial" w:hAnsi="Arial" w:cs="Arial"/>
                <w:sz w:val="24"/>
                <w:szCs w:val="24"/>
              </w:rPr>
              <w:t xml:space="preserve">Servizio Igiene degli Alimenti di Origine Animale (SIAOA) </w:t>
            </w:r>
          </w:p>
          <w:p w:rsidR="001624C8" w:rsidRPr="00522C95" w:rsidRDefault="00BF27BD">
            <w:pPr>
              <w:rPr>
                <w:sz w:val="24"/>
                <w:szCs w:val="24"/>
              </w:rPr>
            </w:pPr>
            <w:r w:rsidRPr="00522C95">
              <w:rPr>
                <w:rFonts w:ascii="Arial" w:eastAsia="Arial" w:hAnsi="Arial" w:cs="Arial"/>
                <w:sz w:val="24"/>
                <w:szCs w:val="24"/>
              </w:rPr>
              <w:t xml:space="preserve">Via dell’Imbrecciato 71b/73 – 00149 Roma   </w:t>
            </w:r>
          </w:p>
          <w:p w:rsidR="001624C8" w:rsidRPr="00522C95" w:rsidRDefault="001624C8">
            <w:pPr>
              <w:rPr>
                <w:sz w:val="24"/>
                <w:szCs w:val="24"/>
              </w:rPr>
            </w:pPr>
          </w:p>
        </w:tc>
      </w:tr>
      <w:tr w:rsidR="001624C8" w:rsidTr="008911B5">
        <w:trPr>
          <w:trHeight w:val="4930"/>
        </w:trPr>
        <w:tc>
          <w:tcPr>
            <w:tcW w:w="1913" w:type="dxa"/>
            <w:tcBorders>
              <w:top w:val="single" w:sz="4" w:space="0" w:color="000000"/>
              <w:left w:val="single" w:sz="4" w:space="0" w:color="000000"/>
              <w:bottom w:val="single" w:sz="4" w:space="0" w:color="000000"/>
              <w:right w:val="single" w:sz="4" w:space="0" w:color="000000"/>
            </w:tcBorders>
          </w:tcPr>
          <w:p w:rsidR="001624C8" w:rsidRDefault="003C1504">
            <w:pPr>
              <w:ind w:right="58"/>
              <w:jc w:val="center"/>
            </w:pPr>
            <w:r>
              <w:rPr>
                <w:rFonts w:ascii="Arial" w:eastAsia="Arial" w:hAnsi="Arial" w:cs="Arial"/>
                <w:b/>
              </w:rPr>
              <w:lastRenderedPageBreak/>
              <w:t>M</w:t>
            </w:r>
            <w:r w:rsidR="00BF27BD">
              <w:rPr>
                <w:rFonts w:ascii="Arial" w:eastAsia="Arial" w:hAnsi="Arial" w:cs="Arial"/>
                <w:b/>
              </w:rPr>
              <w:t xml:space="preserve">odalità di </w:t>
            </w:r>
          </w:p>
          <w:p w:rsidR="001624C8" w:rsidRDefault="00BF27BD">
            <w:pPr>
              <w:jc w:val="center"/>
            </w:pPr>
            <w:r>
              <w:rPr>
                <w:rFonts w:ascii="Arial" w:eastAsia="Arial" w:hAnsi="Arial" w:cs="Arial"/>
                <w:b/>
              </w:rPr>
              <w:t xml:space="preserve">presentazione della pratica </w:t>
            </w:r>
          </w:p>
        </w:tc>
        <w:tc>
          <w:tcPr>
            <w:tcW w:w="7756" w:type="dxa"/>
            <w:tcBorders>
              <w:top w:val="single" w:sz="4" w:space="0" w:color="000000"/>
              <w:left w:val="single" w:sz="4" w:space="0" w:color="000000"/>
              <w:bottom w:val="single" w:sz="4" w:space="0" w:color="000000"/>
              <w:right w:val="single" w:sz="4" w:space="0" w:color="000000"/>
            </w:tcBorders>
          </w:tcPr>
          <w:p w:rsidR="00F34D27" w:rsidRDefault="003C1504" w:rsidP="008911B5">
            <w:pPr>
              <w:ind w:left="26"/>
              <w:jc w:val="both"/>
              <w:rPr>
                <w:rFonts w:ascii="Arial" w:eastAsia="Arial" w:hAnsi="Arial" w:cs="Arial"/>
              </w:rPr>
            </w:pPr>
            <w:r>
              <w:rPr>
                <w:rFonts w:ascii="Arial" w:eastAsia="Arial" w:hAnsi="Arial" w:cs="Arial"/>
              </w:rPr>
              <w:t xml:space="preserve">In caso di sospensione totale o parziale dell’attività il SIAOA, </w:t>
            </w:r>
            <w:r w:rsidR="00D210ED">
              <w:rPr>
                <w:rFonts w:ascii="Arial" w:eastAsia="Arial" w:hAnsi="Arial" w:cs="Arial"/>
              </w:rPr>
              <w:t>ricevuta la richiesta, comunica la Disposizione di sospensione del numero di riconoscimento notificando l’atto alla Regione Lazio e al richiedente per il tramite del SUAP.</w:t>
            </w:r>
          </w:p>
          <w:p w:rsidR="00D210ED" w:rsidRDefault="00D210ED" w:rsidP="008911B5">
            <w:pPr>
              <w:ind w:left="26"/>
              <w:jc w:val="both"/>
            </w:pPr>
            <w:r>
              <w:rPr>
                <w:rFonts w:ascii="Arial" w:eastAsia="Arial" w:hAnsi="Arial" w:cs="Arial"/>
              </w:rPr>
              <w:t>Si precisa che la sospensione di attività (totale o parziale) in uno stabilimento riconosciuto non può essere protratta al massimo per 24 mesi, pena la revoca, totale o parziale, del riconoscimento stesso.</w:t>
            </w:r>
          </w:p>
          <w:p w:rsidR="001624C8" w:rsidRDefault="001624C8" w:rsidP="008911B5">
            <w:pPr>
              <w:spacing w:line="243" w:lineRule="auto"/>
              <w:ind w:right="51"/>
              <w:jc w:val="both"/>
              <w:rPr>
                <w:rFonts w:ascii="Arial" w:eastAsia="Arial" w:hAnsi="Arial" w:cs="Arial"/>
              </w:rPr>
            </w:pPr>
          </w:p>
          <w:p w:rsidR="00E412D3" w:rsidRDefault="00E412D3" w:rsidP="008911B5">
            <w:pPr>
              <w:spacing w:line="243" w:lineRule="auto"/>
              <w:ind w:right="51"/>
              <w:jc w:val="both"/>
              <w:rPr>
                <w:rFonts w:ascii="Arial" w:eastAsia="Arial" w:hAnsi="Arial" w:cs="Arial"/>
              </w:rPr>
            </w:pPr>
            <w:r>
              <w:rPr>
                <w:rFonts w:ascii="Arial" w:eastAsia="Arial" w:hAnsi="Arial" w:cs="Arial"/>
              </w:rPr>
              <w:t>La riattivazione dell’attività, entro il tempo massimo previsto, deve essere subordinata al rilascio di formale parere favorevole del SIAOA previo sopralluogo per verifica mantenimento dei requisiti specifici previsti dalla normativa comunitaria, trasmesso alla Regione e notificato al richiedente tramite il SUAP.</w:t>
            </w:r>
          </w:p>
          <w:p w:rsidR="00E412D3" w:rsidRDefault="00E412D3" w:rsidP="00E412D3">
            <w:pPr>
              <w:spacing w:line="243" w:lineRule="auto"/>
              <w:ind w:right="51"/>
              <w:jc w:val="both"/>
              <w:rPr>
                <w:rFonts w:ascii="Arial" w:eastAsia="Arial" w:hAnsi="Arial" w:cs="Arial"/>
              </w:rPr>
            </w:pPr>
          </w:p>
          <w:p w:rsidR="00E412D3" w:rsidRPr="001108BC" w:rsidRDefault="00E412D3" w:rsidP="001108BC">
            <w:pPr>
              <w:spacing w:line="243" w:lineRule="auto"/>
              <w:ind w:right="51"/>
              <w:jc w:val="both"/>
              <w:rPr>
                <w:rFonts w:ascii="Arial" w:eastAsia="Arial" w:hAnsi="Arial" w:cs="Arial"/>
              </w:rPr>
            </w:pPr>
            <w:r>
              <w:rPr>
                <w:rFonts w:ascii="Arial" w:eastAsia="Arial" w:hAnsi="Arial" w:cs="Arial"/>
              </w:rPr>
              <w:t>In caso di cessazione totale o parziale dell’attività, il SIAOA, una volta ricevuta la richiesta,</w:t>
            </w:r>
            <w:r w:rsidR="001108BC">
              <w:rPr>
                <w:rFonts w:ascii="Arial" w:eastAsia="Arial" w:hAnsi="Arial" w:cs="Arial"/>
              </w:rPr>
              <w:t xml:space="preserve"> </w:t>
            </w:r>
            <w:r w:rsidRPr="001108BC">
              <w:rPr>
                <w:rFonts w:ascii="Arial" w:hAnsi="Arial" w:cs="Arial"/>
              </w:rPr>
              <w:t>adotta l’atto di revoca del riconoscimento in precede</w:t>
            </w:r>
            <w:r w:rsidR="001108BC" w:rsidRPr="001108BC">
              <w:rPr>
                <w:rFonts w:ascii="Arial" w:hAnsi="Arial" w:cs="Arial"/>
              </w:rPr>
              <w:t>nza concesso e lo notifica alla Regione Lazio e al richiedente per il tramite del SUAP.</w:t>
            </w:r>
          </w:p>
        </w:tc>
      </w:tr>
    </w:tbl>
    <w:p w:rsidR="001624C8" w:rsidRDefault="001624C8">
      <w:pPr>
        <w:spacing w:after="0"/>
        <w:ind w:left="-1133" w:right="7994"/>
      </w:pPr>
    </w:p>
    <w:tbl>
      <w:tblPr>
        <w:tblStyle w:val="TableGrid"/>
        <w:tblW w:w="9640" w:type="dxa"/>
        <w:tblInd w:w="0" w:type="dxa"/>
        <w:tblCellMar>
          <w:top w:w="62" w:type="dxa"/>
          <w:left w:w="58" w:type="dxa"/>
        </w:tblCellMar>
        <w:tblLook w:val="04A0" w:firstRow="1" w:lastRow="0" w:firstColumn="1" w:lastColumn="0" w:noHBand="0" w:noVBand="1"/>
      </w:tblPr>
      <w:tblGrid>
        <w:gridCol w:w="1904"/>
        <w:gridCol w:w="7736"/>
      </w:tblGrid>
      <w:tr w:rsidR="001624C8" w:rsidTr="00613B80">
        <w:trPr>
          <w:trHeight w:val="775"/>
        </w:trPr>
        <w:tc>
          <w:tcPr>
            <w:tcW w:w="1904" w:type="dxa"/>
            <w:tcBorders>
              <w:top w:val="single" w:sz="4" w:space="0" w:color="000000"/>
              <w:left w:val="single" w:sz="4" w:space="0" w:color="000000"/>
              <w:bottom w:val="single" w:sz="4" w:space="0" w:color="000000"/>
              <w:right w:val="single" w:sz="4" w:space="0" w:color="000000"/>
            </w:tcBorders>
          </w:tcPr>
          <w:p w:rsidR="001624C8" w:rsidRDefault="00BF27BD">
            <w:pPr>
              <w:ind w:right="56"/>
              <w:jc w:val="center"/>
            </w:pPr>
            <w:r>
              <w:rPr>
                <w:rFonts w:ascii="Arial" w:eastAsia="Arial" w:hAnsi="Arial" w:cs="Arial"/>
                <w:b/>
              </w:rPr>
              <w:t xml:space="preserve">Informazioni </w:t>
            </w:r>
          </w:p>
        </w:tc>
        <w:tc>
          <w:tcPr>
            <w:tcW w:w="7736" w:type="dxa"/>
            <w:tcBorders>
              <w:top w:val="single" w:sz="4" w:space="0" w:color="000000"/>
              <w:left w:val="single" w:sz="4" w:space="0" w:color="000000"/>
              <w:bottom w:val="single" w:sz="4" w:space="0" w:color="000000"/>
              <w:right w:val="single" w:sz="4" w:space="0" w:color="000000"/>
            </w:tcBorders>
          </w:tcPr>
          <w:p w:rsidR="00613B80" w:rsidRDefault="00BF27BD">
            <w:pPr>
              <w:tabs>
                <w:tab w:val="center" w:pos="2837"/>
                <w:tab w:val="center" w:pos="5222"/>
              </w:tabs>
              <w:rPr>
                <w:rFonts w:ascii="Arial" w:eastAsia="Arial" w:hAnsi="Arial" w:cs="Arial"/>
              </w:rPr>
            </w:pPr>
            <w:r>
              <w:rPr>
                <w:rFonts w:ascii="Arial" w:eastAsia="Arial" w:hAnsi="Arial" w:cs="Arial"/>
                <w:b/>
              </w:rPr>
              <w:t>Telefono:</w:t>
            </w:r>
            <w:r>
              <w:rPr>
                <w:rFonts w:ascii="Arial" w:eastAsia="Arial" w:hAnsi="Arial" w:cs="Arial"/>
              </w:rPr>
              <w:t xml:space="preserve">06-56485872 </w:t>
            </w:r>
            <w:r>
              <w:rPr>
                <w:rFonts w:ascii="Arial" w:eastAsia="Arial" w:hAnsi="Arial" w:cs="Arial"/>
              </w:rPr>
              <w:tab/>
              <w:t xml:space="preserve"> </w:t>
            </w:r>
            <w:r>
              <w:rPr>
                <w:rFonts w:ascii="Arial" w:eastAsia="Arial" w:hAnsi="Arial" w:cs="Arial"/>
              </w:rPr>
              <w:tab/>
            </w:r>
          </w:p>
          <w:p w:rsidR="001624C8" w:rsidRDefault="00BF27BD">
            <w:pPr>
              <w:tabs>
                <w:tab w:val="center" w:pos="2837"/>
                <w:tab w:val="center" w:pos="5222"/>
              </w:tabs>
              <w:rPr>
                <w:rFonts w:ascii="Arial" w:eastAsia="Arial" w:hAnsi="Arial" w:cs="Arial"/>
              </w:rPr>
            </w:pPr>
            <w:r>
              <w:rPr>
                <w:rFonts w:ascii="Arial" w:eastAsia="Arial" w:hAnsi="Arial" w:cs="Arial"/>
                <w:b/>
              </w:rPr>
              <w:t xml:space="preserve">e-mail: </w:t>
            </w:r>
            <w:hyperlink r:id="rId7" w:history="1">
              <w:r w:rsidR="00613B80" w:rsidRPr="00EC5F23">
                <w:rPr>
                  <w:rStyle w:val="Collegamentoipertestuale"/>
                  <w:rFonts w:ascii="Arial" w:eastAsia="Arial" w:hAnsi="Arial" w:cs="Arial"/>
                  <w:u w:color="0000FF"/>
                </w:rPr>
                <w:t>svet.igalimoa@aslroma3.it</w:t>
              </w:r>
            </w:hyperlink>
            <w:r>
              <w:rPr>
                <w:rFonts w:ascii="Arial" w:eastAsia="Arial" w:hAnsi="Arial" w:cs="Arial"/>
              </w:rPr>
              <w:t xml:space="preserve"> </w:t>
            </w:r>
          </w:p>
          <w:p w:rsidR="00613B80" w:rsidRDefault="00613B80">
            <w:pPr>
              <w:tabs>
                <w:tab w:val="center" w:pos="2837"/>
                <w:tab w:val="center" w:pos="5222"/>
              </w:tabs>
            </w:pPr>
            <w:proofErr w:type="spellStart"/>
            <w:r>
              <w:rPr>
                <w:rFonts w:ascii="Arial" w:eastAsia="Arial" w:hAnsi="Arial" w:cs="Arial"/>
              </w:rPr>
              <w:t>pec</w:t>
            </w:r>
            <w:proofErr w:type="spellEnd"/>
            <w:r>
              <w:rPr>
                <w:rFonts w:ascii="Arial" w:eastAsia="Arial" w:hAnsi="Arial" w:cs="Arial"/>
              </w:rPr>
              <w:t>: sicurezza.alimentare@pec.aslroma3.it</w:t>
            </w:r>
          </w:p>
          <w:p w:rsidR="001624C8" w:rsidRDefault="00BF27BD" w:rsidP="00613B80">
            <w:r>
              <w:rPr>
                <w:rFonts w:ascii="Arial" w:eastAsia="Arial" w:hAnsi="Arial" w:cs="Arial"/>
                <w:b/>
              </w:rPr>
              <w:t xml:space="preserve"> </w:t>
            </w:r>
          </w:p>
        </w:tc>
      </w:tr>
      <w:tr w:rsidR="001624C8" w:rsidTr="00657EB8">
        <w:trPr>
          <w:trHeight w:val="2364"/>
        </w:trPr>
        <w:tc>
          <w:tcPr>
            <w:tcW w:w="1904" w:type="dxa"/>
            <w:tcBorders>
              <w:top w:val="single" w:sz="4" w:space="0" w:color="000000"/>
              <w:left w:val="single" w:sz="4" w:space="0" w:color="000000"/>
              <w:bottom w:val="single" w:sz="4" w:space="0" w:color="000000"/>
              <w:right w:val="single" w:sz="4" w:space="0" w:color="000000"/>
            </w:tcBorders>
          </w:tcPr>
          <w:p w:rsidR="001624C8" w:rsidRDefault="00BF27BD">
            <w:pPr>
              <w:ind w:right="55"/>
              <w:jc w:val="center"/>
            </w:pPr>
            <w:r>
              <w:rPr>
                <w:rFonts w:ascii="Arial" w:eastAsia="Arial" w:hAnsi="Arial" w:cs="Arial"/>
                <w:b/>
              </w:rPr>
              <w:t xml:space="preserve">Tariffa </w:t>
            </w:r>
          </w:p>
        </w:tc>
        <w:tc>
          <w:tcPr>
            <w:tcW w:w="7736" w:type="dxa"/>
            <w:tcBorders>
              <w:top w:val="single" w:sz="4" w:space="0" w:color="000000"/>
              <w:left w:val="single" w:sz="4" w:space="0" w:color="000000"/>
              <w:bottom w:val="single" w:sz="4" w:space="0" w:color="000000"/>
              <w:right w:val="single" w:sz="4" w:space="0" w:color="000000"/>
            </w:tcBorders>
          </w:tcPr>
          <w:p w:rsidR="00657EB8" w:rsidRDefault="008911B5" w:rsidP="00E83C97">
            <w:pPr>
              <w:jc w:val="both"/>
              <w:rPr>
                <w:rFonts w:ascii="Arial" w:eastAsia="Arial" w:hAnsi="Arial" w:cs="Arial"/>
              </w:rPr>
            </w:pPr>
            <w:r>
              <w:rPr>
                <w:rFonts w:ascii="Arial" w:eastAsia="Arial" w:hAnsi="Arial" w:cs="Arial"/>
              </w:rPr>
              <w:t>Per la richiesta di riattivaz</w:t>
            </w:r>
            <w:bookmarkStart w:id="0" w:name="_GoBack"/>
            <w:bookmarkEnd w:id="0"/>
            <w:r>
              <w:rPr>
                <w:rFonts w:ascii="Arial" w:eastAsia="Arial" w:hAnsi="Arial" w:cs="Arial"/>
              </w:rPr>
              <w:t>ione dell’attività l</w:t>
            </w:r>
            <w:r w:rsidR="00657EB8">
              <w:rPr>
                <w:rFonts w:ascii="Arial" w:eastAsia="Arial" w:hAnsi="Arial" w:cs="Arial"/>
              </w:rPr>
              <w:t xml:space="preserve">’utente, successivamente al sopralluogo di verifica dei requisiti a cura del Veterinario, deve effettuare un versamento calcolato ai sensi del </w:t>
            </w:r>
            <w:proofErr w:type="spellStart"/>
            <w:proofErr w:type="gramStart"/>
            <w:r w:rsidR="00657EB8">
              <w:rPr>
                <w:rFonts w:ascii="Arial" w:eastAsia="Arial" w:hAnsi="Arial" w:cs="Arial"/>
              </w:rPr>
              <w:t>D.Lgs</w:t>
            </w:r>
            <w:proofErr w:type="gramEnd"/>
            <w:r w:rsidR="00657EB8">
              <w:rPr>
                <w:rFonts w:ascii="Arial" w:eastAsia="Arial" w:hAnsi="Arial" w:cs="Arial"/>
              </w:rPr>
              <w:t>.</w:t>
            </w:r>
            <w:proofErr w:type="spellEnd"/>
            <w:r w:rsidR="00657EB8">
              <w:rPr>
                <w:rFonts w:ascii="Arial" w:eastAsia="Arial" w:hAnsi="Arial" w:cs="Arial"/>
              </w:rPr>
              <w:t xml:space="preserve"> 32/2021 che verrà dettagliato nella bolletta di riscossione appositamente emessa, alla ASL ROMA 3.</w:t>
            </w:r>
          </w:p>
          <w:p w:rsidR="00657EB8" w:rsidRDefault="00657EB8" w:rsidP="00E83C97">
            <w:pPr>
              <w:jc w:val="both"/>
              <w:rPr>
                <w:rFonts w:ascii="Arial" w:eastAsia="Arial" w:hAnsi="Arial" w:cs="Arial"/>
              </w:rPr>
            </w:pPr>
          </w:p>
          <w:p w:rsidR="00657EB8" w:rsidRDefault="00657EB8" w:rsidP="00E83C97">
            <w:pPr>
              <w:jc w:val="both"/>
              <w:rPr>
                <w:rFonts w:ascii="Arial" w:eastAsia="Arial" w:hAnsi="Arial" w:cs="Arial"/>
              </w:rPr>
            </w:pPr>
            <w:r>
              <w:rPr>
                <w:rFonts w:ascii="Arial" w:eastAsia="Arial" w:hAnsi="Arial" w:cs="Arial"/>
              </w:rPr>
              <w:t xml:space="preserve">Il versamento deve essere </w:t>
            </w:r>
            <w:r w:rsidR="00BF27BD">
              <w:rPr>
                <w:rFonts w:ascii="Arial" w:eastAsia="Arial" w:hAnsi="Arial" w:cs="Arial"/>
              </w:rPr>
              <w:t xml:space="preserve">effettuato tramite </w:t>
            </w:r>
            <w:r w:rsidR="00BF27BD">
              <w:rPr>
                <w:rFonts w:ascii="Arial" w:eastAsia="Arial" w:hAnsi="Arial" w:cs="Arial"/>
                <w:b/>
              </w:rPr>
              <w:t>bonifico bancario</w:t>
            </w:r>
            <w:r w:rsidR="00BF27BD">
              <w:rPr>
                <w:rFonts w:ascii="Arial" w:eastAsia="Arial" w:hAnsi="Arial" w:cs="Arial"/>
              </w:rPr>
              <w:t xml:space="preserve"> su IB</w:t>
            </w:r>
            <w:r>
              <w:rPr>
                <w:rFonts w:ascii="Arial" w:eastAsia="Arial" w:hAnsi="Arial" w:cs="Arial"/>
              </w:rPr>
              <w:t>AN: IT53X0100503266000000218000</w:t>
            </w:r>
          </w:p>
          <w:p w:rsidR="001624C8" w:rsidRDefault="00657EB8" w:rsidP="00E83C97">
            <w:pPr>
              <w:jc w:val="both"/>
            </w:pPr>
            <w:r>
              <w:rPr>
                <w:rFonts w:ascii="Arial" w:eastAsia="Arial" w:hAnsi="Arial" w:cs="Arial"/>
              </w:rPr>
              <w:t>intestato a: Azienda A</w:t>
            </w:r>
            <w:r w:rsidR="00BF27BD">
              <w:rPr>
                <w:rFonts w:ascii="Arial" w:eastAsia="Arial" w:hAnsi="Arial" w:cs="Arial"/>
              </w:rPr>
              <w:t xml:space="preserve">SL RM 3 – Servizio di Tesoreria </w:t>
            </w:r>
          </w:p>
          <w:p w:rsidR="001624C8" w:rsidRDefault="00BF27BD" w:rsidP="00E83C97">
            <w:pPr>
              <w:jc w:val="both"/>
            </w:pPr>
            <w:r>
              <w:rPr>
                <w:rFonts w:ascii="Arial" w:eastAsia="Arial" w:hAnsi="Arial" w:cs="Arial"/>
                <w:b/>
              </w:rPr>
              <w:t>Causale:</w:t>
            </w:r>
            <w:r w:rsidR="001311A8">
              <w:rPr>
                <w:rFonts w:ascii="Arial" w:eastAsia="Arial" w:hAnsi="Arial" w:cs="Arial"/>
              </w:rPr>
              <w:t xml:space="preserve"> SIAOA - </w:t>
            </w:r>
            <w:r w:rsidR="008911B5">
              <w:rPr>
                <w:rFonts w:ascii="Arial" w:eastAsia="Arial" w:hAnsi="Arial" w:cs="Arial"/>
              </w:rPr>
              <w:t>riattivazione</w:t>
            </w:r>
            <w:r w:rsidR="001311A8">
              <w:rPr>
                <w:rFonts w:ascii="Arial" w:eastAsia="Arial" w:hAnsi="Arial" w:cs="Arial"/>
              </w:rPr>
              <w:t xml:space="preserve"> stabilimento CE</w:t>
            </w:r>
          </w:p>
          <w:p w:rsidR="001624C8" w:rsidRDefault="00BF27BD">
            <w:pPr>
              <w:tabs>
                <w:tab w:val="center" w:pos="708"/>
                <w:tab w:val="center" w:pos="1419"/>
                <w:tab w:val="center" w:pos="2127"/>
                <w:tab w:val="center" w:pos="3204"/>
              </w:tabs>
            </w:pPr>
            <w:r>
              <w:rPr>
                <w:rFonts w:ascii="Arial" w:eastAsia="Arial" w:hAnsi="Arial" w:cs="Arial"/>
              </w:rPr>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r>
              <w:rPr>
                <w:rFonts w:ascii="Arial" w:eastAsia="Arial" w:hAnsi="Arial" w:cs="Arial"/>
              </w:rPr>
              <w:tab/>
              <w:t xml:space="preserve"> </w:t>
            </w:r>
          </w:p>
          <w:p w:rsidR="001624C8" w:rsidRDefault="00BF27BD">
            <w:r>
              <w:rPr>
                <w:rFonts w:ascii="Arial" w:eastAsia="Arial" w:hAnsi="Arial" w:cs="Arial"/>
              </w:rPr>
              <w:t xml:space="preserve"> </w:t>
            </w:r>
          </w:p>
        </w:tc>
      </w:tr>
      <w:tr w:rsidR="001624C8" w:rsidTr="00F34D27">
        <w:trPr>
          <w:trHeight w:val="626"/>
        </w:trPr>
        <w:tc>
          <w:tcPr>
            <w:tcW w:w="1904" w:type="dxa"/>
            <w:tcBorders>
              <w:top w:val="single" w:sz="4" w:space="0" w:color="000000"/>
              <w:left w:val="single" w:sz="4" w:space="0" w:color="000000"/>
              <w:bottom w:val="single" w:sz="4" w:space="0" w:color="000000"/>
              <w:right w:val="single" w:sz="4" w:space="0" w:color="000000"/>
            </w:tcBorders>
          </w:tcPr>
          <w:p w:rsidR="001624C8" w:rsidRDefault="00657EB8">
            <w:pPr>
              <w:ind w:right="58"/>
              <w:jc w:val="center"/>
            </w:pPr>
            <w:r>
              <w:rPr>
                <w:rFonts w:ascii="Arial" w:eastAsia="Arial" w:hAnsi="Arial" w:cs="Arial"/>
                <w:b/>
              </w:rPr>
              <w:t>Tempi</w:t>
            </w:r>
          </w:p>
        </w:tc>
        <w:tc>
          <w:tcPr>
            <w:tcW w:w="7736" w:type="dxa"/>
            <w:tcBorders>
              <w:top w:val="single" w:sz="4" w:space="0" w:color="000000"/>
              <w:left w:val="single" w:sz="4" w:space="0" w:color="000000"/>
              <w:bottom w:val="single" w:sz="4" w:space="0" w:color="000000"/>
              <w:right w:val="single" w:sz="4" w:space="0" w:color="000000"/>
            </w:tcBorders>
          </w:tcPr>
          <w:p w:rsidR="001624C8" w:rsidRDefault="00BF27BD">
            <w:pPr>
              <w:jc w:val="both"/>
            </w:pPr>
            <w:r>
              <w:rPr>
                <w:rFonts w:ascii="Arial" w:eastAsia="Arial" w:hAnsi="Arial" w:cs="Arial"/>
              </w:rPr>
              <w:t>Sopralluogo per accertare la conformità dei requ</w:t>
            </w:r>
            <w:r w:rsidR="00522C95">
              <w:rPr>
                <w:rFonts w:ascii="Arial" w:eastAsia="Arial" w:hAnsi="Arial" w:cs="Arial"/>
              </w:rPr>
              <w:t>isiti e delle procedure entro 7</w:t>
            </w:r>
            <w:r>
              <w:rPr>
                <w:rFonts w:ascii="Arial" w:eastAsia="Arial" w:hAnsi="Arial" w:cs="Arial"/>
              </w:rPr>
              <w:t xml:space="preserve"> gg dalla data di presentazione della richiesta con istruttoria favorevole. </w:t>
            </w:r>
          </w:p>
        </w:tc>
      </w:tr>
    </w:tbl>
    <w:p w:rsidR="001624C8" w:rsidRDefault="00BF27BD">
      <w:pPr>
        <w:spacing w:after="0"/>
        <w:jc w:val="both"/>
      </w:pPr>
      <w:r>
        <w:rPr>
          <w:rFonts w:ascii="Arial" w:eastAsia="Arial" w:hAnsi="Arial" w:cs="Arial"/>
        </w:rPr>
        <w:t xml:space="preserve"> </w:t>
      </w:r>
    </w:p>
    <w:sectPr w:rsidR="001624C8" w:rsidSect="00F34D27">
      <w:headerReference w:type="even" r:id="rId8"/>
      <w:headerReference w:type="default" r:id="rId9"/>
      <w:footerReference w:type="even" r:id="rId10"/>
      <w:footerReference w:type="default" r:id="rId11"/>
      <w:headerReference w:type="first" r:id="rId12"/>
      <w:footerReference w:type="first" r:id="rId13"/>
      <w:pgSz w:w="11906" w:h="16838"/>
      <w:pgMar w:top="2633" w:right="3913" w:bottom="1111" w:left="1276" w:header="720"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DA" w:rsidRDefault="00D211DA">
      <w:pPr>
        <w:spacing w:after="0" w:line="240" w:lineRule="auto"/>
      </w:pPr>
      <w:r>
        <w:separator/>
      </w:r>
    </w:p>
  </w:endnote>
  <w:endnote w:type="continuationSeparator" w:id="0">
    <w:p w:rsidR="00D211DA" w:rsidRDefault="00D21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C8" w:rsidRDefault="00BF27BD">
    <w:pPr>
      <w:spacing w:after="0"/>
      <w:ind w:left="2777"/>
      <w:jc w:val="center"/>
    </w:pPr>
    <w:r>
      <w:fldChar w:fldCharType="begin"/>
    </w:r>
    <w:r>
      <w:instrText xml:space="preserve"> PAGE   \* MERGEFORMAT </w:instrText>
    </w:r>
    <w:r>
      <w:fldChar w:fldCharType="separate"/>
    </w:r>
    <w:r>
      <w:rPr>
        <w:rFonts w:ascii="Trebuchet MS" w:eastAsia="Trebuchet MS" w:hAnsi="Trebuchet MS" w:cs="Trebuchet MS"/>
        <w:sz w:val="16"/>
      </w:rPr>
      <w:t>1</w:t>
    </w:r>
    <w:r>
      <w:rPr>
        <w:rFonts w:ascii="Trebuchet MS" w:eastAsia="Trebuchet MS" w:hAnsi="Trebuchet MS" w:cs="Trebuchet MS"/>
        <w:sz w:val="16"/>
      </w:rPr>
      <w:fldChar w:fldCharType="end"/>
    </w:r>
    <w:r>
      <w:rPr>
        <w:rFonts w:ascii="Trebuchet MS" w:eastAsia="Trebuchet MS" w:hAnsi="Trebuchet MS" w:cs="Trebuchet MS"/>
        <w:sz w:val="16"/>
      </w:rPr>
      <w:t>/</w:t>
    </w:r>
    <w:fldSimple w:instr=" NUMPAGES   \* MERGEFORMAT ">
      <w:r w:rsidR="001311A8" w:rsidRPr="001311A8">
        <w:rPr>
          <w:rFonts w:ascii="Trebuchet MS" w:eastAsia="Trebuchet MS" w:hAnsi="Trebuchet MS" w:cs="Trebuchet MS"/>
          <w:noProof/>
          <w:sz w:val="16"/>
        </w:rPr>
        <w:t>3</w:t>
      </w:r>
    </w:fldSimple>
    <w:r>
      <w:rPr>
        <w:rFonts w:ascii="Trebuchet MS" w:eastAsia="Trebuchet MS" w:hAnsi="Trebuchet MS" w:cs="Trebuchet MS"/>
        <w:sz w:val="16"/>
      </w:rPr>
      <w:t xml:space="preserve"> </w:t>
    </w:r>
  </w:p>
  <w:p w:rsidR="001624C8" w:rsidRDefault="00BF27BD">
    <w:pPr>
      <w:tabs>
        <w:tab w:val="right" w:pos="9643"/>
      </w:tabs>
      <w:spacing w:after="0"/>
      <w:ind w:right="-2782"/>
    </w:pPr>
    <w:r>
      <w:rPr>
        <w:rFonts w:ascii="Trebuchet MS" w:eastAsia="Trebuchet MS" w:hAnsi="Trebuchet MS" w:cs="Trebuchet MS"/>
        <w:sz w:val="16"/>
      </w:rPr>
      <w:t xml:space="preserve">FIU SIAOA - Ampliamento attività stabilimento riconosciuto CE (Reg. CE 853/04) </w:t>
    </w:r>
    <w:r>
      <w:rPr>
        <w:rFonts w:ascii="Trebuchet MS" w:eastAsia="Trebuchet MS" w:hAnsi="Trebuchet MS" w:cs="Trebuchet MS"/>
        <w:sz w:val="16"/>
      </w:rPr>
      <w:tab/>
      <w:t xml:space="preserve">Ed.1-Rev. </w:t>
    </w:r>
    <w:fldSimple w:instr=" NUMPAGES   \* MERGEFORMAT ">
      <w:r w:rsidR="001311A8" w:rsidRPr="001311A8">
        <w:rPr>
          <w:rFonts w:ascii="Trebuchet MS" w:eastAsia="Trebuchet MS" w:hAnsi="Trebuchet MS" w:cs="Trebuchet MS"/>
          <w:noProof/>
          <w:sz w:val="16"/>
        </w:rPr>
        <w:t>3</w:t>
      </w:r>
    </w:fldSimple>
    <w:r>
      <w:rPr>
        <w:rFonts w:ascii="Trebuchet MS" w:eastAsia="Trebuchet MS" w:hAnsi="Trebuchet MS" w:cs="Trebuchet MS"/>
        <w:sz w:val="16"/>
      </w:rPr>
      <w:t xml:space="preserve"> del </w:t>
    </w:r>
    <w:fldSimple w:instr=" NUMPAGES   \* MERGEFORMAT ">
      <w:r w:rsidR="001311A8" w:rsidRPr="001311A8">
        <w:rPr>
          <w:rFonts w:ascii="Trebuchet MS" w:eastAsia="Trebuchet MS" w:hAnsi="Trebuchet MS" w:cs="Trebuchet MS"/>
          <w:noProof/>
          <w:sz w:val="16"/>
        </w:rPr>
        <w:t>3</w:t>
      </w:r>
    </w:fldSimple>
    <w:r>
      <w:rPr>
        <w:rFonts w:ascii="Trebuchet MS" w:eastAsia="Trebuchet MS" w:hAnsi="Trebuchet MS" w:cs="Trebuchet MS"/>
        <w:sz w:val="16"/>
      </w:rPr>
      <w:t xml:space="preserve">0.06.2016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C8" w:rsidRDefault="00BF27BD">
    <w:pPr>
      <w:tabs>
        <w:tab w:val="right" w:pos="9643"/>
      </w:tabs>
      <w:spacing w:after="0"/>
      <w:ind w:right="-2782"/>
    </w:pPr>
    <w:r>
      <w:rPr>
        <w:rFonts w:ascii="Trebuchet MS" w:eastAsia="Trebuchet MS" w:hAnsi="Trebuchet MS" w:cs="Trebuchet MS"/>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C8" w:rsidRDefault="00BF27BD">
    <w:pPr>
      <w:spacing w:after="0"/>
      <w:ind w:left="2777"/>
      <w:jc w:val="center"/>
    </w:pPr>
    <w:r>
      <w:fldChar w:fldCharType="begin"/>
    </w:r>
    <w:r>
      <w:instrText xml:space="preserve"> PAGE   \* MERGEFORMAT </w:instrText>
    </w:r>
    <w:r>
      <w:fldChar w:fldCharType="separate"/>
    </w:r>
    <w:r>
      <w:rPr>
        <w:rFonts w:ascii="Trebuchet MS" w:eastAsia="Trebuchet MS" w:hAnsi="Trebuchet MS" w:cs="Trebuchet MS"/>
        <w:sz w:val="16"/>
      </w:rPr>
      <w:t>1</w:t>
    </w:r>
    <w:r>
      <w:rPr>
        <w:rFonts w:ascii="Trebuchet MS" w:eastAsia="Trebuchet MS" w:hAnsi="Trebuchet MS" w:cs="Trebuchet MS"/>
        <w:sz w:val="16"/>
      </w:rPr>
      <w:fldChar w:fldCharType="end"/>
    </w:r>
    <w:r>
      <w:rPr>
        <w:rFonts w:ascii="Trebuchet MS" w:eastAsia="Trebuchet MS" w:hAnsi="Trebuchet MS" w:cs="Trebuchet MS"/>
        <w:sz w:val="16"/>
      </w:rPr>
      <w:t>/</w:t>
    </w:r>
    <w:fldSimple w:instr=" NUMPAGES   \* MERGEFORMAT ">
      <w:r w:rsidR="001311A8" w:rsidRPr="001311A8">
        <w:rPr>
          <w:rFonts w:ascii="Trebuchet MS" w:eastAsia="Trebuchet MS" w:hAnsi="Trebuchet MS" w:cs="Trebuchet MS"/>
          <w:noProof/>
          <w:sz w:val="16"/>
        </w:rPr>
        <w:t>3</w:t>
      </w:r>
    </w:fldSimple>
    <w:r>
      <w:rPr>
        <w:rFonts w:ascii="Trebuchet MS" w:eastAsia="Trebuchet MS" w:hAnsi="Trebuchet MS" w:cs="Trebuchet MS"/>
        <w:sz w:val="16"/>
      </w:rPr>
      <w:t xml:space="preserve"> </w:t>
    </w:r>
  </w:p>
  <w:p w:rsidR="001624C8" w:rsidRDefault="00BF27BD">
    <w:pPr>
      <w:tabs>
        <w:tab w:val="right" w:pos="9643"/>
      </w:tabs>
      <w:spacing w:after="0"/>
      <w:ind w:right="-2782"/>
    </w:pPr>
    <w:r>
      <w:rPr>
        <w:rFonts w:ascii="Trebuchet MS" w:eastAsia="Trebuchet MS" w:hAnsi="Trebuchet MS" w:cs="Trebuchet MS"/>
        <w:sz w:val="16"/>
      </w:rPr>
      <w:t xml:space="preserve">FIU SIAOA - Ampliamento attività stabilimento riconosciuto CE (Reg. CE 853/04) </w:t>
    </w:r>
    <w:r>
      <w:rPr>
        <w:rFonts w:ascii="Trebuchet MS" w:eastAsia="Trebuchet MS" w:hAnsi="Trebuchet MS" w:cs="Trebuchet MS"/>
        <w:sz w:val="16"/>
      </w:rPr>
      <w:tab/>
      <w:t xml:space="preserve">Ed.1-Rev. </w:t>
    </w:r>
    <w:fldSimple w:instr=" NUMPAGES   \* MERGEFORMAT ">
      <w:r w:rsidR="001311A8" w:rsidRPr="001311A8">
        <w:rPr>
          <w:rFonts w:ascii="Trebuchet MS" w:eastAsia="Trebuchet MS" w:hAnsi="Trebuchet MS" w:cs="Trebuchet MS"/>
          <w:noProof/>
          <w:sz w:val="16"/>
        </w:rPr>
        <w:t>3</w:t>
      </w:r>
    </w:fldSimple>
    <w:r>
      <w:rPr>
        <w:rFonts w:ascii="Trebuchet MS" w:eastAsia="Trebuchet MS" w:hAnsi="Trebuchet MS" w:cs="Trebuchet MS"/>
        <w:sz w:val="16"/>
      </w:rPr>
      <w:t xml:space="preserve"> del </w:t>
    </w:r>
    <w:fldSimple w:instr=" NUMPAGES   \* MERGEFORMAT ">
      <w:r w:rsidR="001311A8" w:rsidRPr="001311A8">
        <w:rPr>
          <w:rFonts w:ascii="Trebuchet MS" w:eastAsia="Trebuchet MS" w:hAnsi="Trebuchet MS" w:cs="Trebuchet MS"/>
          <w:noProof/>
          <w:sz w:val="16"/>
        </w:rPr>
        <w:t>3</w:t>
      </w:r>
    </w:fldSimple>
    <w:r>
      <w:rPr>
        <w:rFonts w:ascii="Trebuchet MS" w:eastAsia="Trebuchet MS" w:hAnsi="Trebuchet MS" w:cs="Trebuchet MS"/>
        <w:sz w:val="16"/>
      </w:rPr>
      <w:t xml:space="preserve">0.06.2016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DA" w:rsidRDefault="00D211DA">
      <w:pPr>
        <w:spacing w:after="0" w:line="240" w:lineRule="auto"/>
      </w:pPr>
      <w:r>
        <w:separator/>
      </w:r>
    </w:p>
  </w:footnote>
  <w:footnote w:type="continuationSeparator" w:id="0">
    <w:p w:rsidR="00D211DA" w:rsidRDefault="00D21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C8" w:rsidRDefault="00BF27BD">
    <w:pPr>
      <w:spacing w:after="0"/>
      <w:ind w:right="-2991"/>
      <w:jc w:val="right"/>
    </w:pPr>
    <w:r>
      <w:rPr>
        <w:noProof/>
      </w:rPr>
      <w:drawing>
        <wp:anchor distT="0" distB="0" distL="114300" distR="114300" simplePos="0" relativeHeight="251658240" behindDoc="0" locked="0" layoutInCell="1" allowOverlap="0">
          <wp:simplePos x="0" y="0"/>
          <wp:positionH relativeFrom="page">
            <wp:posOffset>719455</wp:posOffset>
          </wp:positionH>
          <wp:positionV relativeFrom="page">
            <wp:posOffset>457200</wp:posOffset>
          </wp:positionV>
          <wp:extent cx="1839595" cy="694690"/>
          <wp:effectExtent l="0" t="0" r="0" b="0"/>
          <wp:wrapSquare wrapText="bothSides"/>
          <wp:docPr id="24"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39595" cy="6946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5358951</wp:posOffset>
          </wp:positionH>
          <wp:positionV relativeFrom="page">
            <wp:posOffset>532183</wp:posOffset>
          </wp:positionV>
          <wp:extent cx="1563624" cy="621792"/>
          <wp:effectExtent l="0" t="0" r="0" b="0"/>
          <wp:wrapSquare wrapText="bothSides"/>
          <wp:docPr id="25" name="Picture 4808"/>
          <wp:cNvGraphicFramePr/>
          <a:graphic xmlns:a="http://schemas.openxmlformats.org/drawingml/2006/main">
            <a:graphicData uri="http://schemas.openxmlformats.org/drawingml/2006/picture">
              <pic:pic xmlns:pic="http://schemas.openxmlformats.org/drawingml/2006/picture">
                <pic:nvPicPr>
                  <pic:cNvPr id="4808" name="Picture 4808"/>
                  <pic:cNvPicPr/>
                </pic:nvPicPr>
                <pic:blipFill>
                  <a:blip r:embed="rId2"/>
                  <a:stretch>
                    <a:fillRect/>
                  </a:stretch>
                </pic:blipFill>
                <pic:spPr>
                  <a:xfrm>
                    <a:off x="0" y="0"/>
                    <a:ext cx="1563624" cy="621792"/>
                  </a:xfrm>
                  <a:prstGeom prst="rect">
                    <a:avLst/>
                  </a:prstGeom>
                </pic:spPr>
              </pic:pic>
            </a:graphicData>
          </a:graphic>
        </wp:anchor>
      </w:drawing>
    </w:r>
    <w:r>
      <w:rPr>
        <w:rFonts w:ascii="Verdana" w:eastAsia="Verdana" w:hAnsi="Verdana" w:cs="Verdana"/>
        <w:b/>
        <w:color w:val="3399FF"/>
        <w:sz w:val="20"/>
      </w:rPr>
      <w:t xml:space="preserve">                                                                </w:t>
    </w:r>
    <w:r>
      <w:rPr>
        <w:rFonts w:ascii="Trebuchet MS" w:eastAsia="Trebuchet MS" w:hAnsi="Trebuchet MS" w:cs="Trebuchet MS"/>
        <w:b/>
        <w:color w:val="3399FF"/>
        <w:sz w:val="28"/>
      </w:rPr>
      <w:t xml:space="preserve"> </w:t>
    </w:r>
  </w:p>
  <w:p w:rsidR="001624C8" w:rsidRDefault="00BF27BD">
    <w:pPr>
      <w:spacing w:after="0"/>
    </w:pPr>
    <w:r>
      <w:rPr>
        <w:sz w:val="24"/>
      </w:rPr>
      <w:t xml:space="preserve">Dipartimento di Prevenzione </w:t>
    </w:r>
  </w:p>
  <w:p w:rsidR="001624C8" w:rsidRDefault="00BF27BD">
    <w:pPr>
      <w:spacing w:after="0"/>
    </w:pPr>
    <w:r>
      <w:rPr>
        <w:b/>
        <w:sz w:val="24"/>
      </w:rPr>
      <w:t xml:space="preserve">Servizio Igiene degli Alimenti di Origine Animale </w:t>
    </w:r>
  </w:p>
  <w:p w:rsidR="001624C8" w:rsidRDefault="00BF27BD">
    <w:pPr>
      <w:spacing w:after="0"/>
      <w:ind w:right="-2777"/>
      <w:jc w:val="right"/>
    </w:pPr>
    <w:r>
      <w:rPr>
        <w:rFonts w:ascii="Times New Roman" w:eastAsia="Times New Roman" w:hAnsi="Times New Roman" w:cs="Times New Roman"/>
        <w:color w:val="808080"/>
        <w:sz w:val="20"/>
      </w:rPr>
      <w:t xml:space="preserve">FIU n. 6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C8" w:rsidRDefault="00BF27BD">
    <w:pPr>
      <w:spacing w:after="0"/>
      <w:ind w:right="-2991"/>
      <w:jc w:val="right"/>
    </w:pPr>
    <w:r>
      <w:rPr>
        <w:noProof/>
      </w:rPr>
      <w:drawing>
        <wp:anchor distT="0" distB="0" distL="114300" distR="114300" simplePos="0" relativeHeight="251660288" behindDoc="0" locked="0" layoutInCell="1" allowOverlap="0">
          <wp:simplePos x="0" y="0"/>
          <wp:positionH relativeFrom="page">
            <wp:posOffset>719455</wp:posOffset>
          </wp:positionH>
          <wp:positionV relativeFrom="page">
            <wp:posOffset>457200</wp:posOffset>
          </wp:positionV>
          <wp:extent cx="1839595" cy="694690"/>
          <wp:effectExtent l="0" t="0" r="0" b="0"/>
          <wp:wrapSquare wrapText="bothSides"/>
          <wp:docPr id="26"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39595" cy="694690"/>
                  </a:xfrm>
                  <a:prstGeom prst="rect">
                    <a:avLst/>
                  </a:prstGeom>
                </pic:spPr>
              </pic:pic>
            </a:graphicData>
          </a:graphic>
        </wp:anchor>
      </w:drawing>
    </w:r>
    <w:r>
      <w:rPr>
        <w:noProof/>
      </w:rPr>
      <w:drawing>
        <wp:anchor distT="0" distB="0" distL="114300" distR="114300" simplePos="0" relativeHeight="251661312" behindDoc="0" locked="0" layoutInCell="1" allowOverlap="0">
          <wp:simplePos x="0" y="0"/>
          <wp:positionH relativeFrom="page">
            <wp:posOffset>5358951</wp:posOffset>
          </wp:positionH>
          <wp:positionV relativeFrom="page">
            <wp:posOffset>532183</wp:posOffset>
          </wp:positionV>
          <wp:extent cx="1563624" cy="621792"/>
          <wp:effectExtent l="0" t="0" r="0" b="0"/>
          <wp:wrapSquare wrapText="bothSides"/>
          <wp:docPr id="27" name="Picture 4808"/>
          <wp:cNvGraphicFramePr/>
          <a:graphic xmlns:a="http://schemas.openxmlformats.org/drawingml/2006/main">
            <a:graphicData uri="http://schemas.openxmlformats.org/drawingml/2006/picture">
              <pic:pic xmlns:pic="http://schemas.openxmlformats.org/drawingml/2006/picture">
                <pic:nvPicPr>
                  <pic:cNvPr id="4808" name="Picture 4808"/>
                  <pic:cNvPicPr/>
                </pic:nvPicPr>
                <pic:blipFill>
                  <a:blip r:embed="rId2"/>
                  <a:stretch>
                    <a:fillRect/>
                  </a:stretch>
                </pic:blipFill>
                <pic:spPr>
                  <a:xfrm>
                    <a:off x="0" y="0"/>
                    <a:ext cx="1563624" cy="621792"/>
                  </a:xfrm>
                  <a:prstGeom prst="rect">
                    <a:avLst/>
                  </a:prstGeom>
                </pic:spPr>
              </pic:pic>
            </a:graphicData>
          </a:graphic>
        </wp:anchor>
      </w:drawing>
    </w:r>
    <w:r>
      <w:rPr>
        <w:rFonts w:ascii="Verdana" w:eastAsia="Verdana" w:hAnsi="Verdana" w:cs="Verdana"/>
        <w:b/>
        <w:color w:val="3399FF"/>
        <w:sz w:val="20"/>
      </w:rPr>
      <w:t xml:space="preserve">                                                                </w:t>
    </w:r>
    <w:r>
      <w:rPr>
        <w:rFonts w:ascii="Trebuchet MS" w:eastAsia="Trebuchet MS" w:hAnsi="Trebuchet MS" w:cs="Trebuchet MS"/>
        <w:b/>
        <w:color w:val="3399FF"/>
        <w:sz w:val="28"/>
      </w:rPr>
      <w:t xml:space="preserve"> </w:t>
    </w:r>
  </w:p>
  <w:p w:rsidR="00F34D27" w:rsidRDefault="00F34D27">
    <w:pPr>
      <w:spacing w:after="0"/>
      <w:rPr>
        <w:sz w:val="24"/>
      </w:rPr>
    </w:pPr>
  </w:p>
  <w:p w:rsidR="00F34D27" w:rsidRDefault="00F34D27">
    <w:pPr>
      <w:spacing w:after="0"/>
      <w:rPr>
        <w:sz w:val="24"/>
      </w:rPr>
    </w:pPr>
  </w:p>
  <w:p w:rsidR="00F34D27" w:rsidRDefault="00F34D27">
    <w:pPr>
      <w:spacing w:after="0"/>
      <w:rPr>
        <w:sz w:val="24"/>
      </w:rPr>
    </w:pPr>
  </w:p>
  <w:p w:rsidR="001624C8" w:rsidRDefault="00BF27BD">
    <w:pPr>
      <w:spacing w:after="0"/>
    </w:pPr>
    <w:r>
      <w:rPr>
        <w:sz w:val="24"/>
      </w:rPr>
      <w:t xml:space="preserve">Dipartimento di Prevenzione </w:t>
    </w:r>
  </w:p>
  <w:p w:rsidR="001624C8" w:rsidRDefault="00BF27BD">
    <w:pPr>
      <w:spacing w:after="0"/>
    </w:pPr>
    <w:r>
      <w:rPr>
        <w:b/>
        <w:sz w:val="24"/>
      </w:rPr>
      <w:t xml:space="preserve">Servizio Igiene degli Alimenti di Origine Animale </w:t>
    </w:r>
  </w:p>
  <w:p w:rsidR="001624C8" w:rsidRDefault="001624C8">
    <w:pPr>
      <w:spacing w:after="0"/>
      <w:ind w:right="-277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4C8" w:rsidRDefault="00BF27BD">
    <w:pPr>
      <w:spacing w:after="0"/>
      <w:ind w:right="-2991"/>
      <w:jc w:val="right"/>
    </w:pPr>
    <w:r>
      <w:rPr>
        <w:noProof/>
      </w:rPr>
      <w:drawing>
        <wp:anchor distT="0" distB="0" distL="114300" distR="114300" simplePos="0" relativeHeight="251662336" behindDoc="0" locked="0" layoutInCell="1" allowOverlap="0">
          <wp:simplePos x="0" y="0"/>
          <wp:positionH relativeFrom="page">
            <wp:posOffset>719455</wp:posOffset>
          </wp:positionH>
          <wp:positionV relativeFrom="page">
            <wp:posOffset>457200</wp:posOffset>
          </wp:positionV>
          <wp:extent cx="1839595" cy="694690"/>
          <wp:effectExtent l="0" t="0" r="0" b="0"/>
          <wp:wrapSquare wrapText="bothSides"/>
          <wp:docPr id="28"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839595" cy="694690"/>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5358951</wp:posOffset>
          </wp:positionH>
          <wp:positionV relativeFrom="page">
            <wp:posOffset>532183</wp:posOffset>
          </wp:positionV>
          <wp:extent cx="1563624" cy="621792"/>
          <wp:effectExtent l="0" t="0" r="0" b="0"/>
          <wp:wrapSquare wrapText="bothSides"/>
          <wp:docPr id="29" name="Picture 4808"/>
          <wp:cNvGraphicFramePr/>
          <a:graphic xmlns:a="http://schemas.openxmlformats.org/drawingml/2006/main">
            <a:graphicData uri="http://schemas.openxmlformats.org/drawingml/2006/picture">
              <pic:pic xmlns:pic="http://schemas.openxmlformats.org/drawingml/2006/picture">
                <pic:nvPicPr>
                  <pic:cNvPr id="4808" name="Picture 4808"/>
                  <pic:cNvPicPr/>
                </pic:nvPicPr>
                <pic:blipFill>
                  <a:blip r:embed="rId2"/>
                  <a:stretch>
                    <a:fillRect/>
                  </a:stretch>
                </pic:blipFill>
                <pic:spPr>
                  <a:xfrm>
                    <a:off x="0" y="0"/>
                    <a:ext cx="1563624" cy="621792"/>
                  </a:xfrm>
                  <a:prstGeom prst="rect">
                    <a:avLst/>
                  </a:prstGeom>
                </pic:spPr>
              </pic:pic>
            </a:graphicData>
          </a:graphic>
        </wp:anchor>
      </w:drawing>
    </w:r>
    <w:r>
      <w:rPr>
        <w:rFonts w:ascii="Verdana" w:eastAsia="Verdana" w:hAnsi="Verdana" w:cs="Verdana"/>
        <w:b/>
        <w:color w:val="3399FF"/>
        <w:sz w:val="20"/>
      </w:rPr>
      <w:t xml:space="preserve">                                                                </w:t>
    </w:r>
    <w:r>
      <w:rPr>
        <w:rFonts w:ascii="Trebuchet MS" w:eastAsia="Trebuchet MS" w:hAnsi="Trebuchet MS" w:cs="Trebuchet MS"/>
        <w:b/>
        <w:color w:val="3399FF"/>
        <w:sz w:val="28"/>
      </w:rPr>
      <w:t xml:space="preserve"> </w:t>
    </w:r>
  </w:p>
  <w:p w:rsidR="001624C8" w:rsidRDefault="00BF27BD">
    <w:pPr>
      <w:spacing w:after="0"/>
    </w:pPr>
    <w:r>
      <w:rPr>
        <w:sz w:val="24"/>
      </w:rPr>
      <w:t xml:space="preserve">Dipartimento di Prevenzione </w:t>
    </w:r>
  </w:p>
  <w:p w:rsidR="001624C8" w:rsidRDefault="00BF27BD">
    <w:pPr>
      <w:spacing w:after="0"/>
    </w:pPr>
    <w:r>
      <w:rPr>
        <w:b/>
        <w:sz w:val="24"/>
      </w:rPr>
      <w:t xml:space="preserve">Servizio Igiene degli Alimenti di Origine Animale </w:t>
    </w:r>
  </w:p>
  <w:p w:rsidR="001624C8" w:rsidRDefault="00BF27BD">
    <w:pPr>
      <w:spacing w:after="0"/>
      <w:ind w:right="-2777"/>
      <w:jc w:val="right"/>
    </w:pPr>
    <w:r>
      <w:rPr>
        <w:rFonts w:ascii="Times New Roman" w:eastAsia="Times New Roman" w:hAnsi="Times New Roman" w:cs="Times New Roman"/>
        <w:color w:val="808080"/>
        <w:sz w:val="20"/>
      </w:rPr>
      <w:t xml:space="preserve">FIU n. 6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3662"/>
    <w:multiLevelType w:val="hybridMultilevel"/>
    <w:tmpl w:val="F8B286E8"/>
    <w:lvl w:ilvl="0" w:tplc="EAE27344">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26710A">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700342">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060D9E">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DA0D40">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DAC592">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B8E862">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34C63C">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05B1C">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3D3CC7"/>
    <w:multiLevelType w:val="hybridMultilevel"/>
    <w:tmpl w:val="C11A760C"/>
    <w:lvl w:ilvl="0" w:tplc="39C82C22">
      <w:start w:val="1"/>
      <w:numFmt w:val="decimal"/>
      <w:lvlText w:val="%1."/>
      <w:lvlJc w:val="left"/>
      <w:pPr>
        <w:ind w:left="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48361A">
      <w:start w:val="1"/>
      <w:numFmt w:val="lowerLetter"/>
      <w:lvlText w:val="%2"/>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CD21DFC">
      <w:start w:val="1"/>
      <w:numFmt w:val="lowerRoman"/>
      <w:lvlText w:val="%3"/>
      <w:lvlJc w:val="left"/>
      <w:pPr>
        <w:ind w:left="19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EC4F8F6">
      <w:start w:val="1"/>
      <w:numFmt w:val="decimal"/>
      <w:lvlText w:val="%4"/>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42884">
      <w:start w:val="1"/>
      <w:numFmt w:val="lowerLetter"/>
      <w:lvlText w:val="%5"/>
      <w:lvlJc w:val="left"/>
      <w:pPr>
        <w:ind w:left="3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8B23648">
      <w:start w:val="1"/>
      <w:numFmt w:val="lowerRoman"/>
      <w:lvlText w:val="%6"/>
      <w:lvlJc w:val="left"/>
      <w:pPr>
        <w:ind w:left="4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DA1CBE">
      <w:start w:val="1"/>
      <w:numFmt w:val="decimal"/>
      <w:lvlText w:val="%7"/>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01306">
      <w:start w:val="1"/>
      <w:numFmt w:val="lowerLetter"/>
      <w:lvlText w:val="%8"/>
      <w:lvlJc w:val="left"/>
      <w:pPr>
        <w:ind w:left="55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9E58F4">
      <w:start w:val="1"/>
      <w:numFmt w:val="lowerRoman"/>
      <w:lvlText w:val="%9"/>
      <w:lvlJc w:val="left"/>
      <w:pPr>
        <w:ind w:left="6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D3943F6"/>
    <w:multiLevelType w:val="hybridMultilevel"/>
    <w:tmpl w:val="E4C84890"/>
    <w:lvl w:ilvl="0" w:tplc="4560F50E">
      <w:start w:val="1"/>
      <w:numFmt w:val="bullet"/>
      <w:lvlText w:val="•"/>
      <w:lvlJc w:val="left"/>
      <w:pPr>
        <w:ind w:left="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020B20">
      <w:start w:val="1"/>
      <w:numFmt w:val="bullet"/>
      <w:lvlText w:val="o"/>
      <w:lvlJc w:val="left"/>
      <w:pPr>
        <w:ind w:left="1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E0F420">
      <w:start w:val="1"/>
      <w:numFmt w:val="bullet"/>
      <w:lvlText w:val="▪"/>
      <w:lvlJc w:val="left"/>
      <w:pPr>
        <w:ind w:left="18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36EDDA">
      <w:start w:val="1"/>
      <w:numFmt w:val="bullet"/>
      <w:lvlText w:val="•"/>
      <w:lvlJc w:val="left"/>
      <w:pPr>
        <w:ind w:left="2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D8CD92">
      <w:start w:val="1"/>
      <w:numFmt w:val="bullet"/>
      <w:lvlText w:val="o"/>
      <w:lvlJc w:val="left"/>
      <w:pPr>
        <w:ind w:left="32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3A6F48">
      <w:start w:val="1"/>
      <w:numFmt w:val="bullet"/>
      <w:lvlText w:val="▪"/>
      <w:lvlJc w:val="left"/>
      <w:pPr>
        <w:ind w:left="40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2658B6">
      <w:start w:val="1"/>
      <w:numFmt w:val="bullet"/>
      <w:lvlText w:val="•"/>
      <w:lvlJc w:val="left"/>
      <w:pPr>
        <w:ind w:left="47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7CC4FA">
      <w:start w:val="1"/>
      <w:numFmt w:val="bullet"/>
      <w:lvlText w:val="o"/>
      <w:lvlJc w:val="left"/>
      <w:pPr>
        <w:ind w:left="54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FC2B94">
      <w:start w:val="1"/>
      <w:numFmt w:val="bullet"/>
      <w:lvlText w:val="▪"/>
      <w:lvlJc w:val="left"/>
      <w:pPr>
        <w:ind w:left="61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7E2C1E"/>
    <w:multiLevelType w:val="hybridMultilevel"/>
    <w:tmpl w:val="F928163A"/>
    <w:lvl w:ilvl="0" w:tplc="531CDD7A">
      <w:start w:val="4"/>
      <w:numFmt w:val="decimal"/>
      <w:lvlText w:val="%1."/>
      <w:lvlJc w:val="left"/>
      <w:pPr>
        <w:ind w:left="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64F0E">
      <w:start w:val="1"/>
      <w:numFmt w:val="lowerLetter"/>
      <w:lvlText w:val="%2"/>
      <w:lvlJc w:val="left"/>
      <w:pPr>
        <w:ind w:left="1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FF20F3A">
      <w:start w:val="1"/>
      <w:numFmt w:val="lowerRoman"/>
      <w:lvlText w:val="%3"/>
      <w:lvlJc w:val="left"/>
      <w:pPr>
        <w:ind w:left="1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2E436F2">
      <w:start w:val="1"/>
      <w:numFmt w:val="decimal"/>
      <w:lvlText w:val="%4"/>
      <w:lvlJc w:val="left"/>
      <w:pPr>
        <w:ind w:left="2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AD316">
      <w:start w:val="1"/>
      <w:numFmt w:val="lowerLetter"/>
      <w:lvlText w:val="%5"/>
      <w:lvlJc w:val="left"/>
      <w:pPr>
        <w:ind w:left="33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0ECABE">
      <w:start w:val="1"/>
      <w:numFmt w:val="lowerRoman"/>
      <w:lvlText w:val="%6"/>
      <w:lvlJc w:val="left"/>
      <w:pPr>
        <w:ind w:left="40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2FCCAD2">
      <w:start w:val="1"/>
      <w:numFmt w:val="decimal"/>
      <w:lvlText w:val="%7"/>
      <w:lvlJc w:val="left"/>
      <w:pPr>
        <w:ind w:left="47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45A0">
      <w:start w:val="1"/>
      <w:numFmt w:val="lowerLetter"/>
      <w:lvlText w:val="%8"/>
      <w:lvlJc w:val="left"/>
      <w:pPr>
        <w:ind w:left="54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9A533E">
      <w:start w:val="1"/>
      <w:numFmt w:val="lowerRoman"/>
      <w:lvlText w:val="%9"/>
      <w:lvlJc w:val="left"/>
      <w:pPr>
        <w:ind w:left="62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1322083"/>
    <w:multiLevelType w:val="hybridMultilevel"/>
    <w:tmpl w:val="E27C34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39F7638"/>
    <w:multiLevelType w:val="hybridMultilevel"/>
    <w:tmpl w:val="269A5964"/>
    <w:lvl w:ilvl="0" w:tplc="A6B62512">
      <w:start w:val="1"/>
      <w:numFmt w:val="lowerLetter"/>
      <w:lvlText w:val="%1)"/>
      <w:lvlJc w:val="left"/>
      <w:pPr>
        <w:ind w:left="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B0B396">
      <w:start w:val="1"/>
      <w:numFmt w:val="lowerLetter"/>
      <w:lvlText w:val="%2"/>
      <w:lvlJc w:val="left"/>
      <w:pPr>
        <w:ind w:left="1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BEF502">
      <w:start w:val="1"/>
      <w:numFmt w:val="lowerRoman"/>
      <w:lvlText w:val="%3"/>
      <w:lvlJc w:val="left"/>
      <w:pPr>
        <w:ind w:left="21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EE947C">
      <w:start w:val="1"/>
      <w:numFmt w:val="decimal"/>
      <w:lvlText w:val="%4"/>
      <w:lvlJc w:val="left"/>
      <w:pPr>
        <w:ind w:left="28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7AA276">
      <w:start w:val="1"/>
      <w:numFmt w:val="lowerLetter"/>
      <w:lvlText w:val="%5"/>
      <w:lvlJc w:val="left"/>
      <w:pPr>
        <w:ind w:left="3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6E2CF4C">
      <w:start w:val="1"/>
      <w:numFmt w:val="lowerRoman"/>
      <w:lvlText w:val="%6"/>
      <w:lvlJc w:val="left"/>
      <w:pPr>
        <w:ind w:left="4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7A2798">
      <w:start w:val="1"/>
      <w:numFmt w:val="decimal"/>
      <w:lvlText w:val="%7"/>
      <w:lvlJc w:val="left"/>
      <w:pPr>
        <w:ind w:left="50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63258">
      <w:start w:val="1"/>
      <w:numFmt w:val="lowerLetter"/>
      <w:lvlText w:val="%8"/>
      <w:lvlJc w:val="left"/>
      <w:pPr>
        <w:ind w:left="5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3033B8">
      <w:start w:val="1"/>
      <w:numFmt w:val="lowerRoman"/>
      <w:lvlText w:val="%9"/>
      <w:lvlJc w:val="left"/>
      <w:pPr>
        <w:ind w:left="6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C8"/>
    <w:rsid w:val="000B5ABB"/>
    <w:rsid w:val="001108BC"/>
    <w:rsid w:val="001311A8"/>
    <w:rsid w:val="001624C8"/>
    <w:rsid w:val="00334B5F"/>
    <w:rsid w:val="003C1504"/>
    <w:rsid w:val="00522C95"/>
    <w:rsid w:val="005C2237"/>
    <w:rsid w:val="00613B80"/>
    <w:rsid w:val="00657EB8"/>
    <w:rsid w:val="008911B5"/>
    <w:rsid w:val="009003EE"/>
    <w:rsid w:val="00BF27BD"/>
    <w:rsid w:val="00D11A02"/>
    <w:rsid w:val="00D210ED"/>
    <w:rsid w:val="00D211DA"/>
    <w:rsid w:val="00E412D3"/>
    <w:rsid w:val="00E83C97"/>
    <w:rsid w:val="00F34D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DD22"/>
  <w15:docId w15:val="{8639DE32-9BDD-4C3D-852C-698EA3E8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F34D27"/>
    <w:pPr>
      <w:ind w:left="720"/>
      <w:contextualSpacing/>
    </w:pPr>
  </w:style>
  <w:style w:type="character" w:styleId="Collegamentoipertestuale">
    <w:name w:val="Hyperlink"/>
    <w:basedOn w:val="Carpredefinitoparagrafo"/>
    <w:uiPriority w:val="99"/>
    <w:unhideWhenUsed/>
    <w:rsid w:val="00613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vet.igalimoa@aslroma3.i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493</Words>
  <Characters>2816</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Marziali</dc:creator>
  <cp:keywords/>
  <cp:lastModifiedBy>Ilaria Iacorossi</cp:lastModifiedBy>
  <cp:revision>10</cp:revision>
  <cp:lastPrinted>2022-04-04T10:15:00Z</cp:lastPrinted>
  <dcterms:created xsi:type="dcterms:W3CDTF">2022-03-31T10:04:00Z</dcterms:created>
  <dcterms:modified xsi:type="dcterms:W3CDTF">2022-04-04T11:20:00Z</dcterms:modified>
</cp:coreProperties>
</file>