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3E" w:rsidRDefault="00BB3B2C">
      <w:pPr>
        <w:spacing w:after="0"/>
        <w:ind w:left="141"/>
      </w:pPr>
      <w:r>
        <w:rPr>
          <w:noProof/>
        </w:rPr>
        <w:drawing>
          <wp:inline distT="0" distB="0" distL="0" distR="0">
            <wp:extent cx="1781810" cy="6946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3399FF"/>
          <w:sz w:val="20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658112" cy="661416"/>
            <wp:effectExtent l="0" t="0" r="0" b="0"/>
            <wp:docPr id="4504" name="Picture 4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4" name="Picture 45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color w:val="3399FF"/>
          <w:sz w:val="28"/>
        </w:rPr>
        <w:t xml:space="preserve"> </w:t>
      </w:r>
    </w:p>
    <w:p w:rsidR="00C86A3E" w:rsidRDefault="00BB3B2C">
      <w:pPr>
        <w:spacing w:after="0"/>
        <w:ind w:left="-5" w:hanging="10"/>
      </w:pPr>
      <w:r>
        <w:rPr>
          <w:sz w:val="24"/>
        </w:rPr>
        <w:t xml:space="preserve">Dipartimento di Prevenzione </w:t>
      </w:r>
    </w:p>
    <w:p w:rsidR="00C86A3E" w:rsidRDefault="00BB3B2C">
      <w:pPr>
        <w:spacing w:after="0"/>
        <w:ind w:left="-5" w:hanging="10"/>
      </w:pPr>
      <w:r>
        <w:rPr>
          <w:b/>
          <w:sz w:val="24"/>
        </w:rPr>
        <w:t xml:space="preserve">Servizio Igiene degli Alimenti di Origine Animale </w:t>
      </w:r>
    </w:p>
    <w:p w:rsidR="00C86A3E" w:rsidRDefault="00BB3B2C" w:rsidP="002A2CD7">
      <w:pPr>
        <w:tabs>
          <w:tab w:val="center" w:pos="4820"/>
          <w:tab w:val="center" w:pos="9338"/>
        </w:tabs>
        <w:spacing w:after="39"/>
        <w:ind w:left="-15"/>
      </w:pPr>
      <w:r>
        <w:rPr>
          <w:rFonts w:ascii="Times New Roman" w:eastAsia="Times New Roman" w:hAnsi="Times New Roman" w:cs="Times New Roman"/>
          <w:color w:val="D9D9D9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D9D9D9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color w:val="D9D9D9"/>
          <w:sz w:val="16"/>
        </w:rPr>
        <w:tab/>
      </w:r>
      <w:r>
        <w:rPr>
          <w:rFonts w:ascii="Times New Roman" w:eastAsia="Times New Roman" w:hAnsi="Times New Roman" w:cs="Times New Roman"/>
          <w:color w:val="A6A6A6"/>
          <w:sz w:val="18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86A3E" w:rsidRDefault="00BB3B2C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62332</wp:posOffset>
                </wp:positionH>
                <wp:positionV relativeFrom="page">
                  <wp:posOffset>10040112</wp:posOffset>
                </wp:positionV>
                <wp:extent cx="168707" cy="38100"/>
                <wp:effectExtent l="0" t="0" r="0" b="0"/>
                <wp:wrapSquare wrapText="bothSides"/>
                <wp:docPr id="4394" name="Group 4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7" cy="38100"/>
                          <a:chOff x="0" y="0"/>
                          <a:chExt cx="168707" cy="38100"/>
                        </a:xfrm>
                      </wpg:grpSpPr>
                      <wps:wsp>
                        <wps:cNvPr id="51" name="Rectangle 51"/>
                        <wps:cNvSpPr/>
                        <wps:spPr>
                          <a:xfrm rot="-5399999">
                            <a:off x="86853" y="-9942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86A3E" w:rsidRDefault="00BB3B2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94" o:spid="_x0000_s1026" style="position:absolute;left:0;text-align:left;margin-left:4.9pt;margin-top:790.55pt;width:13.3pt;height:3pt;z-index:251658240;mso-position-horizontal-relative:page;mso-position-vertical-relative:pag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">
                <v:rect id="Rectangle 51" o:spid="_x0000_s1027" style="position:absolute;left:86853;top:-99425;width:50673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<v:textbox inset="0,0,0,0">
                    <w:txbxContent>
                      <w:p w:rsidR="00C86A3E" w:rsidRDefault="00BB3B2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356" w:type="dxa"/>
        <w:tblInd w:w="137" w:type="dxa"/>
        <w:tblCellMar>
          <w:top w:w="64" w:type="dxa"/>
          <w:left w:w="55" w:type="dxa"/>
        </w:tblCellMar>
        <w:tblLook w:val="04A0" w:firstRow="1" w:lastRow="0" w:firstColumn="1" w:lastColumn="0" w:noHBand="0" w:noVBand="1"/>
      </w:tblPr>
      <w:tblGrid>
        <w:gridCol w:w="10356"/>
      </w:tblGrid>
      <w:tr w:rsidR="00C86A3E" w:rsidTr="00131651">
        <w:trPr>
          <w:trHeight w:val="396"/>
        </w:trPr>
        <w:tc>
          <w:tcPr>
            <w:tcW w:w="10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3E" w:rsidRPr="002D55A9" w:rsidRDefault="002D55A9" w:rsidP="002D55A9">
            <w:pPr>
              <w:jc w:val="center"/>
              <w:rPr>
                <w:rFonts w:ascii="Gill Sans" w:eastAsia="MS Mincho" w:hAnsi="Gill Sans" w:cs="Times New Roman"/>
                <w:b/>
                <w:color w:val="auto"/>
                <w:sz w:val="24"/>
                <w:szCs w:val="24"/>
              </w:rPr>
            </w:pPr>
            <w:r w:rsidRPr="002D55A9">
              <w:rPr>
                <w:rFonts w:ascii="Gill Sans" w:eastAsia="MS Mincho" w:hAnsi="Gill Sans" w:cs="Times New Roman"/>
                <w:b/>
                <w:color w:val="auto"/>
                <w:sz w:val="24"/>
                <w:szCs w:val="24"/>
              </w:rPr>
              <w:t>MACELLAZIONE PER IL CONSUMO DOMESTICO AL DI FUORI DEL MACELLO</w:t>
            </w:r>
          </w:p>
        </w:tc>
      </w:tr>
      <w:tr w:rsidR="00C86A3E" w:rsidTr="00131651">
        <w:trPr>
          <w:trHeight w:val="5463"/>
        </w:trPr>
        <w:tc>
          <w:tcPr>
            <w:tcW w:w="10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10" w:rsidRDefault="00BB3B2C" w:rsidP="002D55A9">
            <w:pPr>
              <w:spacing w:after="37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Gli all</w:t>
            </w:r>
            <w:r w:rsidR="002D55A9">
              <w:rPr>
                <w:rFonts w:ascii="Arial" w:eastAsia="Arial" w:hAnsi="Arial" w:cs="Arial"/>
                <w:sz w:val="24"/>
              </w:rPr>
              <w:t xml:space="preserve">evatori che </w:t>
            </w:r>
            <w:r w:rsidR="00126663">
              <w:rPr>
                <w:rFonts w:ascii="Arial" w:eastAsia="Arial" w:hAnsi="Arial" w:cs="Arial"/>
                <w:sz w:val="24"/>
              </w:rPr>
              <w:t>intendono macellare a domicilio</w:t>
            </w:r>
            <w:r w:rsidR="0063189E">
              <w:rPr>
                <w:rFonts w:ascii="Arial" w:eastAsia="Arial" w:hAnsi="Arial" w:cs="Arial"/>
                <w:sz w:val="24"/>
              </w:rPr>
              <w:t xml:space="preserve"> i capi</w:t>
            </w:r>
            <w:r w:rsidR="00782B10">
              <w:rPr>
                <w:rFonts w:ascii="Arial" w:eastAsia="Arial" w:hAnsi="Arial" w:cs="Arial"/>
                <w:sz w:val="24"/>
              </w:rPr>
              <w:t>:</w:t>
            </w:r>
          </w:p>
          <w:p w:rsidR="005729F0" w:rsidRDefault="005729F0" w:rsidP="002D55A9">
            <w:pPr>
              <w:spacing w:after="37"/>
              <w:jc w:val="both"/>
              <w:rPr>
                <w:rFonts w:ascii="Arial" w:eastAsia="Arial" w:hAnsi="Arial" w:cs="Arial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7"/>
              <w:gridCol w:w="7391"/>
            </w:tblGrid>
            <w:tr w:rsidR="002D55A9" w:rsidTr="00782B10">
              <w:tc>
                <w:tcPr>
                  <w:tcW w:w="2787" w:type="dxa"/>
                  <w:shd w:val="clear" w:color="auto" w:fill="auto"/>
                </w:tcPr>
                <w:p w:rsidR="002D55A9" w:rsidRPr="00997AEB" w:rsidRDefault="002D55A9" w:rsidP="002D55A9">
                  <w:pPr>
                    <w:rPr>
                      <w:b/>
                    </w:rPr>
                  </w:pPr>
                  <w:r w:rsidRPr="00997AEB">
                    <w:rPr>
                      <w:b/>
                    </w:rPr>
                    <w:t>SPECIE</w:t>
                  </w:r>
                </w:p>
              </w:tc>
              <w:tc>
                <w:tcPr>
                  <w:tcW w:w="7391" w:type="dxa"/>
                  <w:shd w:val="clear" w:color="auto" w:fill="auto"/>
                </w:tcPr>
                <w:p w:rsidR="002D55A9" w:rsidRPr="00997AEB" w:rsidRDefault="002D55A9" w:rsidP="002D55A9">
                  <w:pPr>
                    <w:rPr>
                      <w:b/>
                    </w:rPr>
                  </w:pPr>
                  <w:r w:rsidRPr="00997AEB">
                    <w:rPr>
                      <w:b/>
                    </w:rPr>
                    <w:t>N.CAPI/ANNO PER NUCLEO FAMILIARE A DOMICILIO</w:t>
                  </w:r>
                </w:p>
              </w:tc>
            </w:tr>
            <w:tr w:rsidR="002D55A9" w:rsidTr="00782B10">
              <w:tc>
                <w:tcPr>
                  <w:tcW w:w="2787" w:type="dxa"/>
                  <w:shd w:val="clear" w:color="auto" w:fill="auto"/>
                </w:tcPr>
                <w:p w:rsidR="002D55A9" w:rsidRDefault="002D55A9" w:rsidP="002D55A9">
                  <w:r>
                    <w:t>suidi</w:t>
                  </w:r>
                </w:p>
              </w:tc>
              <w:tc>
                <w:tcPr>
                  <w:tcW w:w="7391" w:type="dxa"/>
                  <w:shd w:val="clear" w:color="auto" w:fill="auto"/>
                </w:tcPr>
                <w:p w:rsidR="002D55A9" w:rsidRDefault="002D55A9" w:rsidP="002D55A9">
                  <w:r>
                    <w:t>4 capi adulti</w:t>
                  </w:r>
                </w:p>
              </w:tc>
            </w:tr>
            <w:tr w:rsidR="002D55A9" w:rsidTr="00782B10">
              <w:tc>
                <w:tcPr>
                  <w:tcW w:w="2787" w:type="dxa"/>
                  <w:shd w:val="clear" w:color="auto" w:fill="auto"/>
                </w:tcPr>
                <w:p w:rsidR="002D55A9" w:rsidRDefault="002D55A9" w:rsidP="002D55A9">
                  <w:r>
                    <w:t>bovidi</w:t>
                  </w:r>
                </w:p>
              </w:tc>
              <w:tc>
                <w:tcPr>
                  <w:tcW w:w="7391" w:type="dxa"/>
                  <w:shd w:val="clear" w:color="auto" w:fill="auto"/>
                </w:tcPr>
                <w:p w:rsidR="002D55A9" w:rsidRDefault="002D55A9" w:rsidP="002D55A9">
                  <w:r>
                    <w:t>2 vitelli/</w:t>
                  </w:r>
                  <w:proofErr w:type="spellStart"/>
                  <w:r>
                    <w:t>annutoli</w:t>
                  </w:r>
                  <w:proofErr w:type="spellEnd"/>
                  <w:r>
                    <w:t xml:space="preserve"> (&lt;12mesi)</w:t>
                  </w:r>
                </w:p>
              </w:tc>
            </w:tr>
            <w:tr w:rsidR="002D55A9" w:rsidTr="00782B10">
              <w:tc>
                <w:tcPr>
                  <w:tcW w:w="2787" w:type="dxa"/>
                  <w:shd w:val="clear" w:color="auto" w:fill="auto"/>
                </w:tcPr>
                <w:p w:rsidR="002D55A9" w:rsidRDefault="002D55A9" w:rsidP="002D55A9">
                  <w:proofErr w:type="spellStart"/>
                  <w:r>
                    <w:t>ovicaprini</w:t>
                  </w:r>
                  <w:proofErr w:type="spellEnd"/>
                </w:p>
              </w:tc>
              <w:tc>
                <w:tcPr>
                  <w:tcW w:w="7391" w:type="dxa"/>
                  <w:shd w:val="clear" w:color="auto" w:fill="auto"/>
                </w:tcPr>
                <w:p w:rsidR="002D55A9" w:rsidRDefault="002D55A9" w:rsidP="002D55A9">
                  <w:r>
                    <w:t>6 capi (&lt;8 mesi ai quali non deve essere spuntato alcun incisivo permanente</w:t>
                  </w:r>
                </w:p>
              </w:tc>
            </w:tr>
            <w:tr w:rsidR="002D55A9" w:rsidTr="00782B10">
              <w:trPr>
                <w:trHeight w:val="553"/>
              </w:trPr>
              <w:tc>
                <w:tcPr>
                  <w:tcW w:w="2787" w:type="dxa"/>
                  <w:shd w:val="clear" w:color="auto" w:fill="auto"/>
                </w:tcPr>
                <w:p w:rsidR="002D55A9" w:rsidRDefault="002D55A9" w:rsidP="002D55A9">
                  <w:r>
                    <w:t>Pollame, lagomorfi e piccola selvaggina allevata</w:t>
                  </w:r>
                </w:p>
              </w:tc>
              <w:tc>
                <w:tcPr>
                  <w:tcW w:w="7391" w:type="dxa"/>
                  <w:shd w:val="clear" w:color="auto" w:fill="auto"/>
                </w:tcPr>
                <w:p w:rsidR="002D55A9" w:rsidRDefault="002D55A9" w:rsidP="002D55A9">
                  <w:r>
                    <w:t>Fino a 500</w:t>
                  </w:r>
                </w:p>
              </w:tc>
            </w:tr>
          </w:tbl>
          <w:p w:rsidR="005729F0" w:rsidRDefault="005729F0" w:rsidP="002D55A9">
            <w:pPr>
              <w:spacing w:after="37"/>
              <w:jc w:val="both"/>
              <w:rPr>
                <w:rFonts w:ascii="Arial" w:eastAsia="Arial" w:hAnsi="Arial" w:cs="Arial"/>
                <w:sz w:val="24"/>
              </w:rPr>
            </w:pPr>
          </w:p>
          <w:p w:rsidR="00C86A3E" w:rsidRDefault="0063189E" w:rsidP="005729F0">
            <w:pPr>
              <w:spacing w:after="37"/>
              <w:jc w:val="both"/>
            </w:pPr>
            <w:r>
              <w:rPr>
                <w:rFonts w:ascii="Arial" w:eastAsia="Arial" w:hAnsi="Arial" w:cs="Arial"/>
                <w:sz w:val="24"/>
              </w:rPr>
              <w:t>per il consumo del proprio nucleo familiare</w:t>
            </w:r>
            <w:r w:rsidR="00BB3B2C">
              <w:rPr>
                <w:rFonts w:ascii="Arial" w:eastAsia="Arial" w:hAnsi="Arial" w:cs="Arial"/>
                <w:sz w:val="24"/>
              </w:rPr>
              <w:t xml:space="preserve"> possono farlo nel periodo invernale. </w:t>
            </w:r>
          </w:p>
          <w:p w:rsidR="00C86A3E" w:rsidRDefault="00BB3B2C" w:rsidP="005729F0">
            <w:pPr>
              <w:spacing w:after="58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Per non incorrere nel reato di macellazione clandestina, l’allevatore deve avvertire preventivamente il Servizio che invierà un veterinario ispettore a presenziare alla macellazione per verificare: </w:t>
            </w:r>
          </w:p>
          <w:p w:rsidR="00C86A3E" w:rsidRDefault="00BB3B2C" w:rsidP="005729F0">
            <w:pPr>
              <w:numPr>
                <w:ilvl w:val="0"/>
                <w:numId w:val="1"/>
              </w:num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l’assenza di sintomi riferibili a malattie trasmissibili; </w:t>
            </w:r>
          </w:p>
          <w:p w:rsidR="00C86A3E" w:rsidRDefault="00BB3B2C" w:rsidP="005729F0">
            <w:pPr>
              <w:numPr>
                <w:ilvl w:val="0"/>
                <w:numId w:val="1"/>
              </w:num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il rispetto delle disposizioni sul benessere degli animali durante la macellazione; </w:t>
            </w:r>
          </w:p>
          <w:p w:rsidR="00C86A3E" w:rsidRDefault="00BB3B2C" w:rsidP="005729F0">
            <w:pPr>
              <w:numPr>
                <w:ilvl w:val="0"/>
                <w:numId w:val="1"/>
              </w:num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l’assenza di trichine, tramite prelievo ed esame di laboratorio; </w:t>
            </w:r>
          </w:p>
          <w:p w:rsidR="00C86A3E" w:rsidRDefault="00BB3B2C" w:rsidP="005729F0">
            <w:pPr>
              <w:numPr>
                <w:ilvl w:val="0"/>
                <w:numId w:val="1"/>
              </w:num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l’idoneità al consumo umano delle carni; </w:t>
            </w:r>
          </w:p>
          <w:p w:rsidR="00C86A3E" w:rsidRDefault="00BB3B2C" w:rsidP="005729F0">
            <w:pPr>
              <w:spacing w:line="274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Il veterinario ispettore rilascerà certificazione utile anche a dimostrare la destinazione dell’animale in carico.  </w:t>
            </w:r>
          </w:p>
          <w:p w:rsidR="005729F0" w:rsidRDefault="005729F0" w:rsidP="005729F0">
            <w:pPr>
              <w:spacing w:line="274" w:lineRule="auto"/>
              <w:jc w:val="both"/>
            </w:pPr>
            <w:bookmarkStart w:id="0" w:name="_GoBack"/>
            <w:bookmarkEnd w:id="0"/>
          </w:p>
          <w:p w:rsidR="00C86A3E" w:rsidRDefault="00BB3B2C" w:rsidP="005729F0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Norme di riferimento: </w:t>
            </w:r>
          </w:p>
          <w:p w:rsidR="002D55A9" w:rsidRPr="002D55A9" w:rsidRDefault="00BB3B2C" w:rsidP="005729F0">
            <w:pPr>
              <w:numPr>
                <w:ilvl w:val="0"/>
                <w:numId w:val="1"/>
              </w:numPr>
              <w:jc w:val="both"/>
            </w:pPr>
            <w:r>
              <w:rPr>
                <w:rFonts w:ascii="Arial" w:eastAsia="Arial" w:hAnsi="Arial" w:cs="Arial"/>
                <w:sz w:val="24"/>
              </w:rPr>
              <w:t>Regolamento (CE) n.853/2004 che stabilisce norme specifiche in materia di igiene per gli alimenti di origine animale</w:t>
            </w:r>
          </w:p>
          <w:p w:rsidR="00C86A3E" w:rsidRDefault="00BB3B2C" w:rsidP="005729F0">
            <w:pPr>
              <w:numPr>
                <w:ilvl w:val="0"/>
                <w:numId w:val="1"/>
              </w:num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D.P.R. n. 317 del 30/04/1996 relativo all’identificazione e alla registrazione degli animali, circolare ministeriale applicativa n. 11 del 14/08/1996 e circolare regione Lazio n. 51 del 16/12/1996;  </w:t>
            </w:r>
          </w:p>
        </w:tc>
      </w:tr>
    </w:tbl>
    <w:p w:rsidR="00C86A3E" w:rsidRDefault="00BB3B2C">
      <w:pPr>
        <w:spacing w:after="4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86A3E" w:rsidRDefault="00BB3B2C" w:rsidP="001316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3"/>
        <w:ind w:left="142" w:right="800"/>
        <w:jc w:val="center"/>
      </w:pPr>
      <w:r>
        <w:rPr>
          <w:rFonts w:ascii="Arial" w:eastAsia="Arial" w:hAnsi="Arial" w:cs="Arial"/>
          <w:b/>
          <w:sz w:val="24"/>
        </w:rPr>
        <w:t xml:space="preserve">MODALITA' ED ORARI </w:t>
      </w:r>
    </w:p>
    <w:p w:rsidR="00C86A3E" w:rsidRDefault="00BB3B2C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498" w:type="dxa"/>
        <w:tblInd w:w="-5" w:type="dxa"/>
        <w:tblCellMar>
          <w:top w:w="60" w:type="dxa"/>
          <w:left w:w="55" w:type="dxa"/>
        </w:tblCellMar>
        <w:tblLook w:val="04A0" w:firstRow="1" w:lastRow="0" w:firstColumn="1" w:lastColumn="0" w:noHBand="0" w:noVBand="1"/>
      </w:tblPr>
      <w:tblGrid>
        <w:gridCol w:w="1909"/>
        <w:gridCol w:w="8589"/>
      </w:tblGrid>
      <w:tr w:rsidR="00C86A3E" w:rsidTr="003A3189">
        <w:trPr>
          <w:trHeight w:val="55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3E" w:rsidRDefault="00BB3B2C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Ufficio Competente </w:t>
            </w:r>
          </w:p>
          <w:p w:rsidR="00C86A3E" w:rsidRDefault="00BB3B2C">
            <w:pPr>
              <w:spacing w:line="239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(a cui inoltrare la richiesta) </w:t>
            </w:r>
          </w:p>
          <w:p w:rsidR="00C86A3E" w:rsidRDefault="00BB3B2C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3E" w:rsidRDefault="00BB3B2C">
            <w:pPr>
              <w:spacing w:after="6"/>
            </w:pPr>
            <w:r>
              <w:rPr>
                <w:rFonts w:ascii="Arial" w:eastAsia="Arial" w:hAnsi="Arial" w:cs="Arial"/>
                <w:sz w:val="24"/>
              </w:rPr>
              <w:t xml:space="preserve">Servizio igiene degli alimenti di origine animale </w:t>
            </w:r>
          </w:p>
          <w:p w:rsidR="00C86A3E" w:rsidRDefault="00BB3B2C">
            <w:r>
              <w:rPr>
                <w:rFonts w:ascii="Arial" w:eastAsia="Arial" w:hAnsi="Arial" w:cs="Arial"/>
                <w:sz w:val="24"/>
              </w:rPr>
              <w:t xml:space="preserve">Via dell’Imbrecciato 71b/73 – 00149 Roma </w:t>
            </w:r>
          </w:p>
          <w:p w:rsidR="00C86A3E" w:rsidRDefault="00C86A3E" w:rsidP="002D55A9"/>
        </w:tc>
      </w:tr>
      <w:tr w:rsidR="00C86A3E" w:rsidTr="00BB3B2C">
        <w:trPr>
          <w:trHeight w:val="210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F0" w:rsidRDefault="00BB3B2C">
            <w:pPr>
              <w:ind w:left="1" w:right="10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Documentazione da </w:t>
            </w:r>
          </w:p>
          <w:p w:rsidR="00C86A3E" w:rsidRDefault="00BB3B2C">
            <w:pPr>
              <w:ind w:left="1" w:righ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presentare 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3E" w:rsidRDefault="00BB3B2C">
            <w:pPr>
              <w:spacing w:after="58" w:line="241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Al momento della </w:t>
            </w:r>
            <w:r w:rsidR="002D55A9">
              <w:rPr>
                <w:rFonts w:ascii="Arial" w:eastAsia="Arial" w:hAnsi="Arial" w:cs="Arial"/>
                <w:sz w:val="24"/>
              </w:rPr>
              <w:t>richiesta</w:t>
            </w:r>
            <w:r>
              <w:rPr>
                <w:rFonts w:ascii="Arial" w:eastAsia="Arial" w:hAnsi="Arial" w:cs="Arial"/>
                <w:sz w:val="24"/>
              </w:rPr>
              <w:t xml:space="preserve"> l’allevatore dovrà fornire: </w:t>
            </w:r>
          </w:p>
          <w:p w:rsidR="00C86A3E" w:rsidRDefault="00BB3B2C">
            <w:pPr>
              <w:numPr>
                <w:ilvl w:val="0"/>
                <w:numId w:val="2"/>
              </w:numPr>
              <w:ind w:hanging="310"/>
            </w:pPr>
            <w:r>
              <w:rPr>
                <w:rFonts w:ascii="Arial" w:eastAsia="Arial" w:hAnsi="Arial" w:cs="Arial"/>
                <w:sz w:val="24"/>
              </w:rPr>
              <w:t>Dichiarazione d’origine dell’animale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Mod</w:t>
            </w:r>
            <w:proofErr w:type="spellEnd"/>
            <w:r w:rsidR="005729F0">
              <w:rPr>
                <w:rFonts w:ascii="Arial" w:eastAsia="Arial" w:hAnsi="Arial" w:cs="Arial"/>
                <w:sz w:val="24"/>
              </w:rPr>
              <w:t>. 4 o registrazione nascita);</w:t>
            </w:r>
          </w:p>
          <w:p w:rsidR="00C86A3E" w:rsidRDefault="00BB3B2C">
            <w:pPr>
              <w:numPr>
                <w:ilvl w:val="0"/>
                <w:numId w:val="2"/>
              </w:numPr>
              <w:spacing w:after="51" w:line="247" w:lineRule="auto"/>
              <w:ind w:hanging="310"/>
            </w:pPr>
            <w:r>
              <w:rPr>
                <w:rFonts w:ascii="Arial" w:eastAsia="Arial" w:hAnsi="Arial" w:cs="Arial"/>
                <w:sz w:val="24"/>
              </w:rPr>
              <w:t>Codice aziendale, rilasciato a seguito della registrazione dell’azienda in anagrafe zootecnica e registro di stalla, se l’allevatore detiene più di un suino</w:t>
            </w:r>
            <w:r w:rsidR="005729F0">
              <w:rPr>
                <w:rFonts w:ascii="Arial" w:eastAsia="Arial" w:hAnsi="Arial" w:cs="Arial"/>
                <w:sz w:val="24"/>
              </w:rPr>
              <w:t>;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86A3E" w:rsidRPr="005729F0" w:rsidRDefault="00BB3B2C" w:rsidP="003A3189">
            <w:pPr>
              <w:numPr>
                <w:ilvl w:val="0"/>
                <w:numId w:val="2"/>
              </w:numPr>
              <w:ind w:hanging="310"/>
            </w:pPr>
            <w:r>
              <w:rPr>
                <w:rFonts w:ascii="Arial" w:eastAsia="Arial" w:hAnsi="Arial" w:cs="Arial"/>
                <w:sz w:val="24"/>
              </w:rPr>
              <w:t>Attestazioni del pagamento delle</w:t>
            </w:r>
            <w:r w:rsidR="002D55A9">
              <w:rPr>
                <w:rFonts w:ascii="Arial" w:eastAsia="Arial" w:hAnsi="Arial" w:cs="Arial"/>
                <w:sz w:val="24"/>
              </w:rPr>
              <w:t xml:space="preserve"> tariffe per la ASL </w:t>
            </w:r>
          </w:p>
          <w:p w:rsidR="005729F0" w:rsidRPr="003A3189" w:rsidRDefault="005729F0" w:rsidP="005729F0">
            <w:pPr>
              <w:ind w:left="310"/>
            </w:pPr>
          </w:p>
        </w:tc>
      </w:tr>
      <w:tr w:rsidR="00C86A3E" w:rsidTr="005729F0">
        <w:trPr>
          <w:trHeight w:val="3262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3E" w:rsidRDefault="00BB3B2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Modalità di effettuazione 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3E" w:rsidRDefault="002D55A9" w:rsidP="005729F0">
            <w:pPr>
              <w:ind w:right="54"/>
              <w:jc w:val="both"/>
            </w:pPr>
            <w:r>
              <w:rPr>
                <w:rFonts w:ascii="Arial" w:eastAsia="Arial" w:hAnsi="Arial" w:cs="Arial"/>
                <w:sz w:val="24"/>
              </w:rPr>
              <w:t>L’allevatore, con almeno 7</w:t>
            </w:r>
            <w:r w:rsidR="00BB3B2C">
              <w:rPr>
                <w:rFonts w:ascii="Arial" w:eastAsia="Arial" w:hAnsi="Arial" w:cs="Arial"/>
                <w:sz w:val="24"/>
              </w:rPr>
              <w:t xml:space="preserve"> giorni di anticipo</w:t>
            </w:r>
            <w:r w:rsidR="002A2CD7">
              <w:rPr>
                <w:rFonts w:ascii="Arial" w:eastAsia="Arial" w:hAnsi="Arial" w:cs="Arial"/>
                <w:sz w:val="24"/>
              </w:rPr>
              <w:t>,</w:t>
            </w:r>
            <w:r w:rsidR="00BB3B2C">
              <w:rPr>
                <w:rFonts w:ascii="Arial" w:eastAsia="Arial" w:hAnsi="Arial" w:cs="Arial"/>
                <w:sz w:val="24"/>
              </w:rPr>
              <w:t xml:space="preserve"> contatta telefonicamente l’ufficio competente con cui concorda la data previs</w:t>
            </w:r>
            <w:r w:rsidR="002A2CD7">
              <w:rPr>
                <w:rFonts w:ascii="Arial" w:eastAsia="Arial" w:hAnsi="Arial" w:cs="Arial"/>
                <w:sz w:val="24"/>
              </w:rPr>
              <w:t>ta per la macellazione</w:t>
            </w:r>
            <w:r w:rsidR="00BB3B2C">
              <w:rPr>
                <w:rFonts w:ascii="Arial" w:eastAsia="Arial" w:hAnsi="Arial" w:cs="Arial"/>
                <w:sz w:val="24"/>
              </w:rPr>
              <w:t xml:space="preserve">, in giornate lavorative. </w:t>
            </w:r>
          </w:p>
          <w:p w:rsidR="00BB3B2C" w:rsidRDefault="00BB3B2C" w:rsidP="005729F0">
            <w:pPr>
              <w:ind w:right="54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Secondo quanto concordato, il veterinario ispettore si reca sul posto ed effettua la visita ante-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mortem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e post-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mortem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ed esprime il giudizio sull’idoneità al consumo delle carni che resta però comunque condizionato all’accertamento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trichinoscopico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effettuato dal laboratorio dell’Istituto Zooprofilattico Sperimentale su campione di parte del diaframma prelevato dall’animale macellato. </w:t>
            </w:r>
          </w:p>
          <w:p w:rsidR="00C86A3E" w:rsidRDefault="00BB3B2C" w:rsidP="005729F0">
            <w:pPr>
              <w:ind w:right="54"/>
              <w:jc w:val="both"/>
            </w:pPr>
            <w:r>
              <w:rPr>
                <w:rFonts w:ascii="Arial" w:eastAsia="Arial" w:hAnsi="Arial" w:cs="Arial"/>
                <w:sz w:val="24"/>
              </w:rPr>
              <w:t>Acquisito l’esito dall’Istituto Zooprofilattico, il veterinario ispettore comunica all’allevatore il giudizio sull’idoneità delle carni al consumo. Viene poi inviato anche all’allevatore copia dell’esito analitico.</w:t>
            </w:r>
          </w:p>
        </w:tc>
      </w:tr>
    </w:tbl>
    <w:p w:rsidR="00C86A3E" w:rsidRDefault="00C86A3E" w:rsidP="00BB3B2C">
      <w:pPr>
        <w:tabs>
          <w:tab w:val="center" w:pos="4820"/>
          <w:tab w:val="center" w:pos="9338"/>
        </w:tabs>
        <w:spacing w:after="0"/>
      </w:pPr>
    </w:p>
    <w:tbl>
      <w:tblPr>
        <w:tblStyle w:val="TableGrid"/>
        <w:tblW w:w="10490" w:type="dxa"/>
        <w:tblInd w:w="137" w:type="dxa"/>
        <w:tblCellMar>
          <w:top w:w="60" w:type="dxa"/>
          <w:left w:w="5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C86A3E" w:rsidTr="005729F0">
        <w:trPr>
          <w:trHeight w:val="10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3E" w:rsidRDefault="00BB3B2C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Modalità di </w:t>
            </w:r>
          </w:p>
          <w:p w:rsidR="00C86A3E" w:rsidRDefault="00BB3B2C">
            <w:pPr>
              <w:ind w:left="60" w:righ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Presentazione della pratica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89" w:rsidRDefault="00782B10">
            <w:pPr>
              <w:ind w:left="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Via e-mail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color w:val="0000FF"/>
                <w:sz w:val="24"/>
                <w:u w:val="single" w:color="0000FF"/>
              </w:rPr>
              <w:t>svet.igalimoa@aslroma3.it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6C4446">
              <w:rPr>
                <w:rFonts w:ascii="Arial" w:eastAsia="Arial" w:hAnsi="Arial" w:cs="Arial"/>
                <w:sz w:val="24"/>
              </w:rPr>
              <w:t xml:space="preserve">o </w:t>
            </w:r>
          </w:p>
          <w:p w:rsidR="003A3189" w:rsidRDefault="003A3189">
            <w:pPr>
              <w:ind w:left="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</w:t>
            </w:r>
            <w:proofErr w:type="spellStart"/>
            <w:r w:rsidR="006C4446">
              <w:rPr>
                <w:rFonts w:ascii="Arial" w:eastAsia="Arial" w:hAnsi="Arial" w:cs="Arial"/>
                <w:sz w:val="24"/>
              </w:rPr>
              <w:t>pec</w:t>
            </w:r>
            <w:proofErr w:type="spellEnd"/>
            <w:r w:rsidR="006C4446">
              <w:rPr>
                <w:rFonts w:ascii="Arial" w:eastAsia="Arial" w:hAnsi="Arial" w:cs="Arial"/>
                <w:sz w:val="24"/>
              </w:rPr>
              <w:t xml:space="preserve">: </w:t>
            </w:r>
            <w:hyperlink r:id="rId7" w:history="1">
              <w:r w:rsidRPr="003C47B7">
                <w:rPr>
                  <w:rStyle w:val="Collegamentoipertestuale"/>
                  <w:rFonts w:ascii="Arial" w:eastAsia="Arial" w:hAnsi="Arial" w:cs="Arial"/>
                  <w:sz w:val="24"/>
                </w:rPr>
                <w:t>sicurezza.alimentare@pec.aslroma3.it</w:t>
              </w:r>
            </w:hyperlink>
            <w:r w:rsidR="00782B10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86A3E" w:rsidRDefault="00782B10">
            <w:pPr>
              <w:ind w:left="50"/>
            </w:pPr>
            <w:r>
              <w:rPr>
                <w:rFonts w:ascii="Arial" w:eastAsia="Arial" w:hAnsi="Arial" w:cs="Arial"/>
                <w:sz w:val="24"/>
              </w:rPr>
              <w:t>e successivo a</w:t>
            </w:r>
            <w:r w:rsidR="00BB3B2C">
              <w:rPr>
                <w:rFonts w:ascii="Arial" w:eastAsia="Arial" w:hAnsi="Arial" w:cs="Arial"/>
                <w:sz w:val="24"/>
              </w:rPr>
              <w:t xml:space="preserve">ccordo telefonico per eseguire l’ispezione. </w:t>
            </w:r>
          </w:p>
        </w:tc>
      </w:tr>
      <w:tr w:rsidR="00C86A3E" w:rsidTr="003A3189">
        <w:trPr>
          <w:trHeight w:val="10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3E" w:rsidRDefault="00BB3B2C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Informazioni </w:t>
            </w:r>
          </w:p>
          <w:p w:rsidR="00C86A3E" w:rsidRDefault="00BB3B2C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86A3E" w:rsidRDefault="00BB3B2C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3E" w:rsidRDefault="00BB3B2C">
            <w:pPr>
              <w:spacing w:after="26" w:line="251" w:lineRule="auto"/>
              <w:ind w:left="50" w:right="3710"/>
            </w:pPr>
            <w:r>
              <w:rPr>
                <w:rFonts w:ascii="Arial" w:eastAsia="Arial" w:hAnsi="Arial" w:cs="Arial"/>
                <w:b/>
                <w:sz w:val="24"/>
              </w:rPr>
              <w:t>Via e-mail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color w:val="0000FF"/>
                <w:sz w:val="24"/>
                <w:u w:val="single" w:color="0000FF"/>
              </w:rPr>
              <w:t>svet.igalimoa@aslroma3.it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oppure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86A3E" w:rsidRDefault="00BB3B2C" w:rsidP="003A3189">
            <w:pPr>
              <w:ind w:left="50"/>
            </w:pPr>
            <w:r>
              <w:rPr>
                <w:rFonts w:ascii="Arial" w:eastAsia="Arial" w:hAnsi="Arial" w:cs="Arial"/>
                <w:b/>
                <w:sz w:val="24"/>
              </w:rPr>
              <w:t>Telefonicamente:</w:t>
            </w:r>
            <w:r>
              <w:rPr>
                <w:rFonts w:ascii="Arial" w:eastAsia="Arial" w:hAnsi="Arial" w:cs="Arial"/>
                <w:sz w:val="24"/>
              </w:rPr>
              <w:t xml:space="preserve"> 0656485872/73 dalle 08,00 alle 14,00 </w:t>
            </w:r>
          </w:p>
        </w:tc>
      </w:tr>
      <w:tr w:rsidR="00C86A3E" w:rsidTr="005729F0">
        <w:trPr>
          <w:trHeight w:val="29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3E" w:rsidRDefault="00BB3B2C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Tariffa </w:t>
            </w:r>
          </w:p>
          <w:p w:rsidR="00C86A3E" w:rsidRDefault="00BB3B2C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89" w:rsidRPr="005729F0" w:rsidRDefault="00782B10" w:rsidP="005729F0">
            <w:pPr>
              <w:jc w:val="both"/>
              <w:rPr>
                <w:rFonts w:ascii="Arial" w:eastAsia="MS Mincho" w:hAnsi="Arial" w:cs="Arial"/>
                <w:color w:val="auto"/>
                <w:sz w:val="24"/>
                <w:szCs w:val="24"/>
              </w:rPr>
            </w:pPr>
            <w:r w:rsidRPr="00782B10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tariffa forfettaria (15 euro primo animale, 5 euro per ogni animale successivo al primo) più le spese per analisi di laboratorio per la ricerca di </w:t>
            </w:r>
            <w:proofErr w:type="spellStart"/>
            <w:r w:rsidRPr="00782B10">
              <w:rPr>
                <w:rFonts w:ascii="Arial" w:eastAsia="MS Mincho" w:hAnsi="Arial" w:cs="Arial"/>
                <w:color w:val="auto"/>
                <w:sz w:val="24"/>
                <w:szCs w:val="24"/>
              </w:rPr>
              <w:t>Tric</w:t>
            </w:r>
            <w:r w:rsidR="003A3189">
              <w:rPr>
                <w:rFonts w:ascii="Arial" w:eastAsia="MS Mincho" w:hAnsi="Arial" w:cs="Arial"/>
                <w:color w:val="auto"/>
                <w:sz w:val="24"/>
                <w:szCs w:val="24"/>
              </w:rPr>
              <w:t>hinella</w:t>
            </w:r>
            <w:proofErr w:type="spellEnd"/>
            <w:r w:rsidR="003A3189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A3189">
              <w:rPr>
                <w:rFonts w:ascii="Arial" w:eastAsia="MS Mincho" w:hAnsi="Arial" w:cs="Arial"/>
                <w:color w:val="auto"/>
                <w:sz w:val="24"/>
                <w:szCs w:val="24"/>
              </w:rPr>
              <w:t>Spp</w:t>
            </w:r>
            <w:proofErr w:type="spellEnd"/>
            <w:r w:rsidR="003A3189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 (8 euro per 1 animale, 16 euro per 2 animali, 19 euro dal terzo animale</w:t>
            </w:r>
            <w:r w:rsidRPr="00782B10">
              <w:rPr>
                <w:rFonts w:ascii="Arial" w:eastAsia="MS Mincho" w:hAnsi="Arial" w:cs="Arial"/>
                <w:color w:val="auto"/>
                <w:sz w:val="24"/>
                <w:szCs w:val="24"/>
              </w:rPr>
              <w:t>, nella stessa seduta di ma</w:t>
            </w:r>
            <w:r w:rsidR="005729F0">
              <w:rPr>
                <w:rFonts w:ascii="Arial" w:eastAsia="MS Mincho" w:hAnsi="Arial" w:cs="Arial"/>
                <w:color w:val="auto"/>
                <w:sz w:val="24"/>
                <w:szCs w:val="24"/>
              </w:rPr>
              <w:t>cellazione) da versare</w:t>
            </w:r>
          </w:p>
          <w:p w:rsidR="005729F0" w:rsidRDefault="005729F0" w:rsidP="002A2CD7">
            <w:pPr>
              <w:spacing w:after="36" w:line="246" w:lineRule="auto"/>
              <w:ind w:left="385" w:right="47"/>
              <w:rPr>
                <w:rFonts w:ascii="Arial" w:eastAsia="Arial" w:hAnsi="Arial" w:cs="Arial"/>
                <w:sz w:val="24"/>
              </w:rPr>
            </w:pPr>
          </w:p>
          <w:p w:rsidR="005729F0" w:rsidRDefault="00BB3B2C" w:rsidP="002A2CD7">
            <w:pPr>
              <w:spacing w:after="36" w:line="246" w:lineRule="auto"/>
              <w:ind w:left="385" w:right="4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con </w:t>
            </w:r>
            <w:r>
              <w:rPr>
                <w:rFonts w:ascii="Arial" w:eastAsia="Arial" w:hAnsi="Arial" w:cs="Arial"/>
                <w:b/>
                <w:sz w:val="24"/>
              </w:rPr>
              <w:t>bonifico bancario</w:t>
            </w:r>
            <w:r>
              <w:rPr>
                <w:rFonts w:ascii="Arial" w:eastAsia="Arial" w:hAnsi="Arial" w:cs="Arial"/>
                <w:sz w:val="24"/>
              </w:rPr>
              <w:t xml:space="preserve"> codice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IBAN  IT</w:t>
            </w:r>
            <w:proofErr w:type="gramEnd"/>
            <w:r>
              <w:rPr>
                <w:rFonts w:ascii="Arial" w:eastAsia="Arial" w:hAnsi="Arial" w:cs="Arial"/>
                <w:sz w:val="24"/>
              </w:rPr>
              <w:t>53X0100503266000000218000 intestato a: Azienda USL RM3 – Servizio di Tesoreria,</w:t>
            </w:r>
          </w:p>
          <w:p w:rsidR="005729F0" w:rsidRDefault="00BB3B2C" w:rsidP="005729F0">
            <w:pPr>
              <w:spacing w:after="36" w:line="246" w:lineRule="auto"/>
              <w:ind w:right="4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5729F0"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 xml:space="preserve">indicando nella causale “SIAOA – macellazione domiciliare” </w:t>
            </w:r>
          </w:p>
          <w:p w:rsidR="005729F0" w:rsidRPr="005729F0" w:rsidRDefault="005729F0" w:rsidP="005729F0">
            <w:pPr>
              <w:spacing w:after="36" w:line="246" w:lineRule="auto"/>
              <w:ind w:right="47"/>
            </w:pPr>
          </w:p>
          <w:p w:rsidR="00BB3B2C" w:rsidRDefault="0063189E" w:rsidP="00126663">
            <w:pPr>
              <w:spacing w:after="36" w:line="246" w:lineRule="auto"/>
              <w:ind w:left="25" w:right="47"/>
              <w:jc w:val="both"/>
            </w:pPr>
            <w:r>
              <w:rPr>
                <w:rFonts w:ascii="Arial" w:eastAsia="MS Mincho" w:hAnsi="Arial" w:cs="Arial"/>
                <w:color w:val="auto"/>
                <w:sz w:val="24"/>
                <w:szCs w:val="24"/>
              </w:rPr>
              <w:t>S</w:t>
            </w:r>
            <w:r w:rsidRPr="003A3189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i specifica che l’esame </w:t>
            </w:r>
            <w:proofErr w:type="spellStart"/>
            <w:r w:rsidRPr="003A3189">
              <w:rPr>
                <w:rFonts w:ascii="Arial" w:eastAsia="MS Mincho" w:hAnsi="Arial" w:cs="Arial"/>
                <w:color w:val="auto"/>
                <w:sz w:val="24"/>
                <w:szCs w:val="24"/>
              </w:rPr>
              <w:t>trichinoscopico</w:t>
            </w:r>
            <w:proofErr w:type="spellEnd"/>
            <w:r w:rsidRPr="003A3189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 viene effet</w:t>
            </w:r>
            <w:r>
              <w:rPr>
                <w:rFonts w:ascii="Arial" w:eastAsia="MS Mincho" w:hAnsi="Arial" w:cs="Arial"/>
                <w:color w:val="auto"/>
                <w:sz w:val="24"/>
                <w:szCs w:val="24"/>
              </w:rPr>
              <w:t>tuato solo per la specie suidi</w:t>
            </w:r>
            <w:r w:rsidR="005729F0">
              <w:rPr>
                <w:rFonts w:ascii="Arial" w:eastAsia="MS Mincho" w:hAnsi="Arial" w:cs="Arial"/>
                <w:color w:val="auto"/>
                <w:sz w:val="24"/>
                <w:szCs w:val="24"/>
              </w:rPr>
              <w:t>.</w:t>
            </w:r>
          </w:p>
          <w:p w:rsidR="00C86A3E" w:rsidRPr="00BB3B2C" w:rsidRDefault="00C86A3E" w:rsidP="005729F0">
            <w:pPr>
              <w:spacing w:line="276" w:lineRule="auto"/>
              <w:jc w:val="both"/>
            </w:pPr>
          </w:p>
        </w:tc>
      </w:tr>
      <w:tr w:rsidR="00C86A3E" w:rsidTr="003A3189">
        <w:trPr>
          <w:trHeight w:val="7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3E" w:rsidRDefault="00BB3B2C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Tempi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3E" w:rsidRDefault="00BB3B2C">
            <w:pPr>
              <w:numPr>
                <w:ilvl w:val="0"/>
                <w:numId w:val="4"/>
              </w:numPr>
              <w:ind w:hanging="310"/>
            </w:pPr>
            <w:r>
              <w:rPr>
                <w:rFonts w:ascii="Arial" w:eastAsia="Arial" w:hAnsi="Arial" w:cs="Arial"/>
                <w:sz w:val="24"/>
              </w:rPr>
              <w:t xml:space="preserve">Intervento </w:t>
            </w:r>
            <w:r w:rsidR="00EE0AD9">
              <w:rPr>
                <w:rFonts w:ascii="Arial" w:eastAsia="Arial" w:hAnsi="Arial" w:cs="Arial"/>
                <w:sz w:val="24"/>
              </w:rPr>
              <w:t>per ispezione su appuntamento.</w:t>
            </w:r>
          </w:p>
          <w:p w:rsidR="00C86A3E" w:rsidRDefault="00BB3B2C">
            <w:pPr>
              <w:numPr>
                <w:ilvl w:val="0"/>
                <w:numId w:val="4"/>
              </w:numPr>
              <w:ind w:hanging="310"/>
            </w:pPr>
            <w:r>
              <w:rPr>
                <w:rFonts w:ascii="Arial" w:eastAsia="Arial" w:hAnsi="Arial" w:cs="Arial"/>
                <w:sz w:val="24"/>
              </w:rPr>
              <w:t xml:space="preserve">Giudizio sull’idoneità delle carni al consumo entro 1 giorno dall’ispezione. </w:t>
            </w:r>
          </w:p>
        </w:tc>
      </w:tr>
    </w:tbl>
    <w:p w:rsidR="00C86A3E" w:rsidRDefault="00BB3B2C">
      <w:pPr>
        <w:spacing w:after="47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6A3E" w:rsidRDefault="00BB3B2C">
      <w:pPr>
        <w:tabs>
          <w:tab w:val="center" w:pos="8663"/>
        </w:tabs>
        <w:spacing w:after="21"/>
        <w:ind w:left="-15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sectPr w:rsidR="00C86A3E">
      <w:pgSz w:w="11906" w:h="16838"/>
      <w:pgMar w:top="420" w:right="387" w:bottom="715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7458"/>
    <w:multiLevelType w:val="hybridMultilevel"/>
    <w:tmpl w:val="39E0C55A"/>
    <w:lvl w:ilvl="0" w:tplc="AF1A04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67BFA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06ADA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6B62E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051F4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2C73E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C8724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ACA90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8EFAE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352A8"/>
    <w:multiLevelType w:val="hybridMultilevel"/>
    <w:tmpl w:val="83D4C5F2"/>
    <w:lvl w:ilvl="0" w:tplc="7ECCC826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6D394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257FC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80074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4E446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EE4E4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3386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AE50A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6EAF0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E62E87"/>
    <w:multiLevelType w:val="hybridMultilevel"/>
    <w:tmpl w:val="4AE219A2"/>
    <w:lvl w:ilvl="0" w:tplc="DB60B3C6">
      <w:start w:val="1"/>
      <w:numFmt w:val="bullet"/>
      <w:lvlText w:val="•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C5A10">
      <w:start w:val="1"/>
      <w:numFmt w:val="bullet"/>
      <w:lvlText w:val="o"/>
      <w:lvlJc w:val="left"/>
      <w:pPr>
        <w:ind w:left="1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A6DE">
      <w:start w:val="1"/>
      <w:numFmt w:val="bullet"/>
      <w:lvlText w:val="▪"/>
      <w:lvlJc w:val="left"/>
      <w:pPr>
        <w:ind w:left="1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E3A7E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EC52E">
      <w:start w:val="1"/>
      <w:numFmt w:val="bullet"/>
      <w:lvlText w:val="o"/>
      <w:lvlJc w:val="left"/>
      <w:pPr>
        <w:ind w:left="3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898DA">
      <w:start w:val="1"/>
      <w:numFmt w:val="bullet"/>
      <w:lvlText w:val="▪"/>
      <w:lvlJc w:val="left"/>
      <w:pPr>
        <w:ind w:left="3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E222E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AFBD0">
      <w:start w:val="1"/>
      <w:numFmt w:val="bullet"/>
      <w:lvlText w:val="o"/>
      <w:lvlJc w:val="left"/>
      <w:pPr>
        <w:ind w:left="5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EDE18">
      <w:start w:val="1"/>
      <w:numFmt w:val="bullet"/>
      <w:lvlText w:val="▪"/>
      <w:lvlJc w:val="left"/>
      <w:pPr>
        <w:ind w:left="6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BB77E3"/>
    <w:multiLevelType w:val="hybridMultilevel"/>
    <w:tmpl w:val="294247DC"/>
    <w:lvl w:ilvl="0" w:tplc="4CEA11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2FCE0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2E966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ECF80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CC1B0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2A29A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2D7F8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E00B4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AC76A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3E"/>
    <w:rsid w:val="00126663"/>
    <w:rsid w:val="00131651"/>
    <w:rsid w:val="002A2CD7"/>
    <w:rsid w:val="002D55A9"/>
    <w:rsid w:val="003A3189"/>
    <w:rsid w:val="005729F0"/>
    <w:rsid w:val="0063189E"/>
    <w:rsid w:val="006C4446"/>
    <w:rsid w:val="00782B10"/>
    <w:rsid w:val="008F4A44"/>
    <w:rsid w:val="00953DF4"/>
    <w:rsid w:val="00BB3B2C"/>
    <w:rsid w:val="00C86A3E"/>
    <w:rsid w:val="00E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7A65"/>
  <w15:docId w15:val="{ACC27370-D861-4370-8DAA-5F4E7901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67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A3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curezza.alimentare@pec.aslroma3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Ilaria Iacorossi</cp:lastModifiedBy>
  <cp:revision>3</cp:revision>
  <cp:lastPrinted>2022-03-24T11:47:00Z</cp:lastPrinted>
  <dcterms:created xsi:type="dcterms:W3CDTF">2022-03-30T11:02:00Z</dcterms:created>
  <dcterms:modified xsi:type="dcterms:W3CDTF">2022-04-06T09:31:00Z</dcterms:modified>
</cp:coreProperties>
</file>